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4F" w:rsidRPr="00BC26E3" w:rsidRDefault="00055D4F" w:rsidP="00055D4F">
      <w:pPr>
        <w:rPr>
          <w:b/>
          <w:lang w:val="el-GR"/>
        </w:rPr>
      </w:pPr>
    </w:p>
    <w:p w:rsidR="00055D4F" w:rsidRPr="006D1C51" w:rsidRDefault="00055D4F" w:rsidP="00055D4F">
      <w:pPr>
        <w:shd w:val="clear" w:color="auto" w:fill="F2F2F2"/>
        <w:ind w:left="-142"/>
        <w:jc w:val="center"/>
        <w:outlineLvl w:val="0"/>
        <w:rPr>
          <w:b/>
          <w:u w:val="single"/>
          <w:lang w:val="el-GR"/>
        </w:rPr>
      </w:pPr>
      <w:r w:rsidRPr="00CF60AF">
        <w:rPr>
          <w:b/>
          <w:u w:val="single"/>
          <w:lang w:val="en-US"/>
        </w:rPr>
        <w:t>ENTY</w:t>
      </w:r>
      <w:r w:rsidRPr="00CC7A21">
        <w:rPr>
          <w:b/>
          <w:u w:val="single"/>
          <w:lang w:val="el-GR"/>
        </w:rPr>
        <w:t xml:space="preserve">ΠΟ ΟΙΚΟΝΟΜΙΚΗΣ ΠΡΟΣΦΟΡΑΣ (ΟΜΑΔΑ_1: </w:t>
      </w:r>
      <w:r>
        <w:rPr>
          <w:b/>
          <w:u w:val="single"/>
          <w:lang w:val="el-GR"/>
        </w:rPr>
        <w:t>ΛΙΠΑΝΤΙΚΑ)</w:t>
      </w:r>
    </w:p>
    <w:p w:rsidR="00055D4F" w:rsidRDefault="00055D4F" w:rsidP="00055D4F">
      <w:pPr>
        <w:ind w:left="-142" w:right="142"/>
      </w:pPr>
      <w:r w:rsidRPr="00CC7A21">
        <w:rPr>
          <w:lang w:val="el-GR"/>
        </w:rPr>
        <w:t xml:space="preserve">Της Επιχείρησης ……………………………………. με έδρα …………………………………………………………, οδός……………………………………………..…………………………………, αριθμός ……………………………….., τηλέφωνο…….…….…………. …………..………………………. </w:t>
      </w:r>
      <w:proofErr w:type="gramStart"/>
      <w:r w:rsidRPr="00CF60AF">
        <w:rPr>
          <w:lang w:val="en-US"/>
        </w:rPr>
        <w:t>fax</w:t>
      </w:r>
      <w:proofErr w:type="gramEnd"/>
      <w:r w:rsidRPr="00CF60AF">
        <w:t xml:space="preserve"> …………………….., </w:t>
      </w:r>
      <w:r w:rsidRPr="00CF60AF">
        <w:rPr>
          <w:lang w:val="en-US"/>
        </w:rPr>
        <w:t>email</w:t>
      </w:r>
      <w:r w:rsidRPr="00CF60AF">
        <w:t xml:space="preserve"> :……………………….….………………</w:t>
      </w:r>
    </w:p>
    <w:p w:rsidR="00055D4F" w:rsidRDefault="00055D4F" w:rsidP="00055D4F">
      <w:pPr>
        <w:rPr>
          <w:b/>
        </w:rPr>
      </w:pPr>
    </w:p>
    <w:tbl>
      <w:tblPr>
        <w:tblpPr w:leftFromText="180" w:rightFromText="180" w:vertAnchor="text" w:horzAnchor="margin" w:tblpX="-67" w:tblpY="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5035"/>
        <w:gridCol w:w="1207"/>
        <w:gridCol w:w="1120"/>
        <w:gridCol w:w="1026"/>
        <w:gridCol w:w="1295"/>
      </w:tblGrid>
      <w:tr w:rsidR="00055D4F" w:rsidRPr="002E3257" w:rsidTr="00A97E84">
        <w:tc>
          <w:tcPr>
            <w:tcW w:w="290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2E3257">
              <w:rPr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449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E3257">
              <w:rPr>
                <w:b/>
                <w:bCs/>
                <w:sz w:val="20"/>
                <w:szCs w:val="20"/>
              </w:rPr>
              <w:t>Είδος</w:t>
            </w:r>
            <w:proofErr w:type="spellEnd"/>
          </w:p>
        </w:tc>
        <w:tc>
          <w:tcPr>
            <w:tcW w:w="587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E3257">
              <w:rPr>
                <w:b/>
                <w:bCs/>
                <w:sz w:val="20"/>
                <w:szCs w:val="20"/>
              </w:rPr>
              <w:t>Μονάδα</w:t>
            </w:r>
            <w:proofErr w:type="spellEnd"/>
          </w:p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E3257">
              <w:rPr>
                <w:b/>
                <w:bCs/>
                <w:sz w:val="20"/>
                <w:szCs w:val="20"/>
              </w:rPr>
              <w:t>μέτρησης</w:t>
            </w:r>
            <w:proofErr w:type="spellEnd"/>
          </w:p>
        </w:tc>
        <w:tc>
          <w:tcPr>
            <w:tcW w:w="545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2E3257">
              <w:rPr>
                <w:b/>
                <w:bCs/>
                <w:sz w:val="20"/>
                <w:szCs w:val="20"/>
              </w:rPr>
              <w:t>Ποσότητα</w:t>
            </w:r>
            <w:proofErr w:type="spellEnd"/>
            <w:r w:rsidRPr="002E3257">
              <w:rPr>
                <w:b/>
                <w:bCs/>
                <w:sz w:val="20"/>
                <w:szCs w:val="20"/>
                <w:lang w:val="en-US"/>
              </w:rPr>
              <w:t xml:space="preserve">    (Lt)</w:t>
            </w:r>
          </w:p>
        </w:tc>
        <w:tc>
          <w:tcPr>
            <w:tcW w:w="499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E3257">
              <w:rPr>
                <w:b/>
                <w:bCs/>
                <w:sz w:val="20"/>
                <w:szCs w:val="20"/>
              </w:rPr>
              <w:t>Τιμή</w:t>
            </w:r>
            <w:proofErr w:type="spellEnd"/>
          </w:p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E3257">
              <w:rPr>
                <w:b/>
                <w:bCs/>
                <w:sz w:val="20"/>
                <w:szCs w:val="20"/>
              </w:rPr>
              <w:t>μονάδας</w:t>
            </w:r>
            <w:proofErr w:type="spellEnd"/>
          </w:p>
        </w:tc>
        <w:tc>
          <w:tcPr>
            <w:tcW w:w="630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E3257">
              <w:rPr>
                <w:b/>
                <w:bCs/>
                <w:sz w:val="20"/>
                <w:szCs w:val="20"/>
              </w:rPr>
              <w:t>Σύνολο</w:t>
            </w:r>
            <w:proofErr w:type="spellEnd"/>
          </w:p>
        </w:tc>
      </w:tr>
      <w:tr w:rsidR="00055D4F" w:rsidRPr="002E3257" w:rsidTr="00A97E84">
        <w:trPr>
          <w:trHeight w:val="1083"/>
        </w:trPr>
        <w:tc>
          <w:tcPr>
            <w:tcW w:w="290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2E325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49" w:type="pct"/>
            <w:vAlign w:val="center"/>
          </w:tcPr>
          <w:p w:rsidR="00055D4F" w:rsidRPr="002E3257" w:rsidRDefault="00055D4F" w:rsidP="00A97E84">
            <w:pPr>
              <w:jc w:val="center"/>
              <w:rPr>
                <w:sz w:val="20"/>
                <w:szCs w:val="20"/>
              </w:rPr>
            </w:pPr>
            <w:proofErr w:type="spellStart"/>
            <w:r w:rsidRPr="002E3257">
              <w:rPr>
                <w:sz w:val="20"/>
                <w:szCs w:val="20"/>
              </w:rPr>
              <w:t>ΗμισυνθετικόΛιπαντικό</w:t>
            </w:r>
            <w:proofErr w:type="spellEnd"/>
            <w:r w:rsidRPr="002E3257">
              <w:rPr>
                <w:sz w:val="20"/>
                <w:szCs w:val="20"/>
              </w:rPr>
              <w:t xml:space="preserve"> </w:t>
            </w:r>
            <w:r w:rsidRPr="002E3257">
              <w:rPr>
                <w:b/>
                <w:bCs/>
                <w:sz w:val="20"/>
                <w:szCs w:val="20"/>
              </w:rPr>
              <w:t>SAE 20W/50</w:t>
            </w:r>
            <w:r w:rsidRPr="002E3257">
              <w:rPr>
                <w:sz w:val="20"/>
                <w:szCs w:val="20"/>
              </w:rPr>
              <w:t xml:space="preserve"> </w:t>
            </w:r>
            <w:proofErr w:type="spellStart"/>
            <w:r w:rsidRPr="002E3257">
              <w:rPr>
                <w:sz w:val="20"/>
                <w:szCs w:val="20"/>
              </w:rPr>
              <w:t>κατά</w:t>
            </w:r>
            <w:proofErr w:type="spellEnd"/>
            <w:r w:rsidRPr="002E3257">
              <w:rPr>
                <w:sz w:val="20"/>
                <w:szCs w:val="20"/>
              </w:rPr>
              <w:t xml:space="preserve"> ACEA Ε7/E4, Α3/Β3, A3/Β4, ΑΡΙ CI-4/CΗ-4/CF-4/CF-2/CE/CD/SL/SH, </w:t>
            </w:r>
            <w:proofErr w:type="spellStart"/>
            <w:r w:rsidRPr="002E3257">
              <w:rPr>
                <w:sz w:val="20"/>
                <w:szCs w:val="20"/>
              </w:rPr>
              <w:t>για</w:t>
            </w:r>
            <w:proofErr w:type="spellEnd"/>
            <w:r w:rsidRPr="002E3257">
              <w:rPr>
                <w:sz w:val="20"/>
                <w:szCs w:val="20"/>
              </w:rPr>
              <w:t xml:space="preserve">  </w:t>
            </w:r>
            <w:proofErr w:type="spellStart"/>
            <w:r w:rsidRPr="002E3257">
              <w:rPr>
                <w:sz w:val="20"/>
                <w:szCs w:val="20"/>
              </w:rPr>
              <w:t>πετρελαιοκινητήρες</w:t>
            </w:r>
            <w:proofErr w:type="spellEnd"/>
            <w:r w:rsidRPr="002E3257">
              <w:rPr>
                <w:sz w:val="20"/>
                <w:szCs w:val="20"/>
              </w:rPr>
              <w:t xml:space="preserve"> </w:t>
            </w:r>
            <w:proofErr w:type="spellStart"/>
            <w:r w:rsidRPr="002E3257">
              <w:rPr>
                <w:sz w:val="20"/>
                <w:szCs w:val="20"/>
              </w:rPr>
              <w:t>γενικήςχρήσης</w:t>
            </w:r>
            <w:proofErr w:type="spellEnd"/>
            <w:r w:rsidRPr="002E3257">
              <w:rPr>
                <w:sz w:val="20"/>
                <w:szCs w:val="20"/>
              </w:rPr>
              <w:t xml:space="preserve">, </w:t>
            </w:r>
            <w:proofErr w:type="spellStart"/>
            <w:r w:rsidRPr="002E3257">
              <w:rPr>
                <w:sz w:val="20"/>
                <w:szCs w:val="20"/>
              </w:rPr>
              <w:t>σεειδικά</w:t>
            </w:r>
            <w:proofErr w:type="spellEnd"/>
            <w:r w:rsidRPr="002E3257">
              <w:rPr>
                <w:sz w:val="20"/>
                <w:szCs w:val="20"/>
              </w:rPr>
              <w:t xml:space="preserve"> </w:t>
            </w:r>
            <w:proofErr w:type="spellStart"/>
            <w:r w:rsidRPr="002E3257">
              <w:rPr>
                <w:sz w:val="20"/>
                <w:szCs w:val="20"/>
              </w:rPr>
              <w:t>βαρέλια</w:t>
            </w:r>
            <w:proofErr w:type="spellEnd"/>
            <w:r w:rsidRPr="002E3257">
              <w:rPr>
                <w:sz w:val="20"/>
                <w:szCs w:val="20"/>
              </w:rPr>
              <w:t xml:space="preserve"> </w:t>
            </w:r>
            <w:proofErr w:type="spellStart"/>
            <w:r w:rsidRPr="002E3257">
              <w:rPr>
                <w:sz w:val="20"/>
                <w:szCs w:val="20"/>
              </w:rPr>
              <w:t>χωρητικότητας</w:t>
            </w:r>
            <w:proofErr w:type="spellEnd"/>
            <w:r w:rsidRPr="002E3257">
              <w:rPr>
                <w:sz w:val="20"/>
                <w:szCs w:val="20"/>
              </w:rPr>
              <w:t xml:space="preserve"> 204-208 Lt</w:t>
            </w:r>
          </w:p>
        </w:tc>
        <w:tc>
          <w:tcPr>
            <w:tcW w:w="587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2E3257">
              <w:rPr>
                <w:b/>
                <w:bCs/>
                <w:sz w:val="20"/>
                <w:szCs w:val="20"/>
              </w:rPr>
              <w:t>Lt</w:t>
            </w:r>
          </w:p>
        </w:tc>
        <w:tc>
          <w:tcPr>
            <w:tcW w:w="545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800</w:t>
            </w:r>
          </w:p>
        </w:tc>
        <w:tc>
          <w:tcPr>
            <w:tcW w:w="499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30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5D4F" w:rsidRPr="002E3257" w:rsidTr="00A97E84">
        <w:trPr>
          <w:trHeight w:val="1127"/>
        </w:trPr>
        <w:tc>
          <w:tcPr>
            <w:tcW w:w="290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2E325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49" w:type="pct"/>
            <w:vAlign w:val="center"/>
          </w:tcPr>
          <w:p w:rsidR="00055D4F" w:rsidRPr="002E3257" w:rsidRDefault="00055D4F" w:rsidP="00A97E84">
            <w:pPr>
              <w:jc w:val="center"/>
              <w:rPr>
                <w:sz w:val="20"/>
                <w:szCs w:val="20"/>
                <w:lang w:val="el-GR"/>
              </w:rPr>
            </w:pPr>
            <w:r w:rsidRPr="002E3257">
              <w:rPr>
                <w:sz w:val="20"/>
                <w:szCs w:val="20"/>
                <w:lang w:val="el-GR"/>
              </w:rPr>
              <w:t xml:space="preserve">Συνθετικό Λιπαντικό  τύπου </w:t>
            </w:r>
            <w:r w:rsidRPr="002E3257">
              <w:rPr>
                <w:b/>
                <w:bCs/>
                <w:sz w:val="20"/>
                <w:szCs w:val="20"/>
              </w:rPr>
              <w:t>SAE</w:t>
            </w:r>
            <w:r w:rsidRPr="002E3257">
              <w:rPr>
                <w:b/>
                <w:bCs/>
                <w:sz w:val="20"/>
                <w:szCs w:val="20"/>
                <w:lang w:val="el-GR"/>
              </w:rPr>
              <w:t xml:space="preserve"> 10</w:t>
            </w:r>
            <w:r w:rsidRPr="002E3257">
              <w:rPr>
                <w:b/>
                <w:bCs/>
                <w:sz w:val="20"/>
                <w:szCs w:val="20"/>
              </w:rPr>
              <w:t>W</w:t>
            </w:r>
            <w:r w:rsidRPr="002E3257">
              <w:rPr>
                <w:b/>
                <w:bCs/>
                <w:sz w:val="20"/>
                <w:szCs w:val="20"/>
                <w:lang w:val="el-GR"/>
              </w:rPr>
              <w:t>/40</w:t>
            </w:r>
            <w:r w:rsidRPr="002E3257">
              <w:rPr>
                <w:sz w:val="20"/>
                <w:szCs w:val="20"/>
                <w:lang w:val="el-GR"/>
              </w:rPr>
              <w:t xml:space="preserve"> κατά </w:t>
            </w:r>
            <w:r w:rsidRPr="002E3257">
              <w:rPr>
                <w:sz w:val="20"/>
                <w:szCs w:val="20"/>
              </w:rPr>
              <w:t>ACEA</w:t>
            </w:r>
            <w:r w:rsidRPr="002E3257">
              <w:rPr>
                <w:sz w:val="20"/>
                <w:szCs w:val="20"/>
                <w:lang w:val="el-GR"/>
              </w:rPr>
              <w:t xml:space="preserve"> Ε9/Ε7, ΑΡΙ </w:t>
            </w:r>
            <w:r w:rsidRPr="002E3257">
              <w:rPr>
                <w:sz w:val="20"/>
                <w:szCs w:val="20"/>
              </w:rPr>
              <w:t>CK</w:t>
            </w:r>
            <w:r w:rsidRPr="002E3257">
              <w:rPr>
                <w:sz w:val="20"/>
                <w:szCs w:val="20"/>
                <w:lang w:val="el-GR"/>
              </w:rPr>
              <w:t>-4/</w:t>
            </w:r>
            <w:r w:rsidRPr="002E3257">
              <w:rPr>
                <w:sz w:val="20"/>
                <w:szCs w:val="20"/>
              </w:rPr>
              <w:t>CJ</w:t>
            </w:r>
            <w:r w:rsidRPr="002E3257">
              <w:rPr>
                <w:sz w:val="20"/>
                <w:szCs w:val="20"/>
                <w:lang w:val="el-GR"/>
              </w:rPr>
              <w:t>-4/</w:t>
            </w:r>
            <w:r w:rsidRPr="002E3257">
              <w:rPr>
                <w:sz w:val="20"/>
                <w:szCs w:val="20"/>
              </w:rPr>
              <w:t>CI</w:t>
            </w:r>
            <w:r w:rsidRPr="002E3257">
              <w:rPr>
                <w:sz w:val="20"/>
                <w:szCs w:val="20"/>
                <w:lang w:val="el-GR"/>
              </w:rPr>
              <w:t>-4/</w:t>
            </w:r>
            <w:r w:rsidRPr="002E3257">
              <w:rPr>
                <w:sz w:val="20"/>
                <w:szCs w:val="20"/>
              </w:rPr>
              <w:t>SN</w:t>
            </w:r>
            <w:r w:rsidRPr="002E3257">
              <w:rPr>
                <w:sz w:val="20"/>
                <w:szCs w:val="20"/>
                <w:lang w:val="el-GR"/>
              </w:rPr>
              <w:t>/</w:t>
            </w:r>
            <w:r w:rsidRPr="002E3257">
              <w:rPr>
                <w:sz w:val="20"/>
                <w:szCs w:val="20"/>
              </w:rPr>
              <w:t>SL</w:t>
            </w:r>
            <w:r w:rsidRPr="002E3257">
              <w:rPr>
                <w:sz w:val="20"/>
                <w:szCs w:val="20"/>
                <w:lang w:val="el-GR"/>
              </w:rPr>
              <w:t xml:space="preserve">, για πετρελαιοκινητήρες γενικής χρήσης, σε ειδικά βαρέλια χωρητικότητας 204-208 </w:t>
            </w:r>
            <w:r w:rsidRPr="002E3257">
              <w:rPr>
                <w:sz w:val="20"/>
                <w:szCs w:val="20"/>
              </w:rPr>
              <w:t>Lt</w:t>
            </w:r>
          </w:p>
        </w:tc>
        <w:tc>
          <w:tcPr>
            <w:tcW w:w="587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2E3257">
              <w:rPr>
                <w:b/>
                <w:bCs/>
                <w:sz w:val="20"/>
                <w:szCs w:val="20"/>
              </w:rPr>
              <w:t>Lt</w:t>
            </w:r>
          </w:p>
        </w:tc>
        <w:tc>
          <w:tcPr>
            <w:tcW w:w="545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1.100</w:t>
            </w:r>
          </w:p>
        </w:tc>
        <w:tc>
          <w:tcPr>
            <w:tcW w:w="499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30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5D4F" w:rsidRPr="002E3257" w:rsidTr="00A97E84">
        <w:trPr>
          <w:trHeight w:val="701"/>
        </w:trPr>
        <w:tc>
          <w:tcPr>
            <w:tcW w:w="290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2E325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49" w:type="pct"/>
            <w:vAlign w:val="center"/>
          </w:tcPr>
          <w:p w:rsidR="00055D4F" w:rsidRPr="002E3257" w:rsidRDefault="00055D4F" w:rsidP="00A97E84">
            <w:pPr>
              <w:jc w:val="center"/>
              <w:rPr>
                <w:sz w:val="20"/>
                <w:szCs w:val="20"/>
                <w:lang w:val="el-GR"/>
              </w:rPr>
            </w:pPr>
            <w:r w:rsidRPr="002E3257">
              <w:rPr>
                <w:sz w:val="20"/>
                <w:szCs w:val="20"/>
                <w:lang w:val="el-GR"/>
              </w:rPr>
              <w:t xml:space="preserve">Συνθετικό Λιπαντικό  </w:t>
            </w:r>
            <w:r w:rsidRPr="002E3257">
              <w:rPr>
                <w:b/>
                <w:bCs/>
                <w:sz w:val="20"/>
                <w:szCs w:val="20"/>
              </w:rPr>
              <w:t>SAE</w:t>
            </w:r>
            <w:r w:rsidRPr="002E3257">
              <w:rPr>
                <w:b/>
                <w:bCs/>
                <w:sz w:val="20"/>
                <w:szCs w:val="20"/>
                <w:lang w:val="el-GR"/>
              </w:rPr>
              <w:t xml:space="preserve"> 10</w:t>
            </w:r>
            <w:r w:rsidRPr="002E3257">
              <w:rPr>
                <w:b/>
                <w:bCs/>
                <w:sz w:val="20"/>
                <w:szCs w:val="20"/>
              </w:rPr>
              <w:t>W</w:t>
            </w:r>
            <w:r w:rsidRPr="002E3257">
              <w:rPr>
                <w:b/>
                <w:bCs/>
                <w:sz w:val="20"/>
                <w:szCs w:val="20"/>
                <w:lang w:val="el-GR"/>
              </w:rPr>
              <w:t>/40</w:t>
            </w:r>
            <w:r w:rsidRPr="002E3257">
              <w:rPr>
                <w:sz w:val="20"/>
                <w:szCs w:val="20"/>
                <w:lang w:val="el-GR"/>
              </w:rPr>
              <w:t xml:space="preserve"> κατά ΑΡΙ </w:t>
            </w:r>
            <w:r w:rsidRPr="002E3257">
              <w:rPr>
                <w:sz w:val="20"/>
                <w:szCs w:val="20"/>
              </w:rPr>
              <w:t>SL</w:t>
            </w:r>
            <w:r w:rsidRPr="002E3257">
              <w:rPr>
                <w:sz w:val="20"/>
                <w:szCs w:val="20"/>
                <w:lang w:val="el-GR"/>
              </w:rPr>
              <w:t>/</w:t>
            </w:r>
            <w:r w:rsidRPr="002E3257">
              <w:rPr>
                <w:sz w:val="20"/>
                <w:szCs w:val="20"/>
              </w:rPr>
              <w:t>CF</w:t>
            </w:r>
            <w:r w:rsidRPr="002E3257">
              <w:rPr>
                <w:sz w:val="20"/>
                <w:szCs w:val="20"/>
                <w:lang w:val="el-GR"/>
              </w:rPr>
              <w:t xml:space="preserve">, </w:t>
            </w:r>
            <w:r w:rsidRPr="002E3257">
              <w:rPr>
                <w:sz w:val="20"/>
                <w:szCs w:val="20"/>
              </w:rPr>
              <w:t>ACEA</w:t>
            </w:r>
            <w:r w:rsidRPr="002E3257">
              <w:rPr>
                <w:sz w:val="20"/>
                <w:szCs w:val="20"/>
                <w:lang w:val="el-GR"/>
              </w:rPr>
              <w:t xml:space="preserve"> Α3/</w:t>
            </w:r>
            <w:r w:rsidRPr="002E3257">
              <w:rPr>
                <w:sz w:val="20"/>
                <w:szCs w:val="20"/>
              </w:rPr>
              <w:t>B</w:t>
            </w:r>
            <w:r w:rsidRPr="002E3257">
              <w:rPr>
                <w:sz w:val="20"/>
                <w:szCs w:val="20"/>
                <w:lang w:val="el-GR"/>
              </w:rPr>
              <w:t xml:space="preserve">3, </w:t>
            </w:r>
            <w:r w:rsidRPr="002E3257">
              <w:rPr>
                <w:sz w:val="20"/>
                <w:szCs w:val="20"/>
              </w:rPr>
              <w:t>A</w:t>
            </w:r>
            <w:r w:rsidRPr="002E3257">
              <w:rPr>
                <w:sz w:val="20"/>
                <w:szCs w:val="20"/>
                <w:lang w:val="el-GR"/>
              </w:rPr>
              <w:t>3/</w:t>
            </w:r>
            <w:r w:rsidRPr="002E3257">
              <w:rPr>
                <w:sz w:val="20"/>
                <w:szCs w:val="20"/>
              </w:rPr>
              <w:t>B</w:t>
            </w:r>
            <w:r w:rsidRPr="002E3257">
              <w:rPr>
                <w:sz w:val="20"/>
                <w:szCs w:val="20"/>
                <w:lang w:val="el-GR"/>
              </w:rPr>
              <w:t xml:space="preserve">4, για βενζινοκινητήρες, σε δοχεία χωρητικότητας 4-5 </w:t>
            </w:r>
            <w:r w:rsidRPr="002E3257">
              <w:rPr>
                <w:sz w:val="20"/>
                <w:szCs w:val="20"/>
              </w:rPr>
              <w:t>Lt</w:t>
            </w:r>
          </w:p>
        </w:tc>
        <w:tc>
          <w:tcPr>
            <w:tcW w:w="587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2E3257">
              <w:rPr>
                <w:b/>
                <w:bCs/>
                <w:sz w:val="20"/>
                <w:szCs w:val="20"/>
              </w:rPr>
              <w:t>Lt</w:t>
            </w:r>
          </w:p>
        </w:tc>
        <w:tc>
          <w:tcPr>
            <w:tcW w:w="545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300</w:t>
            </w:r>
          </w:p>
        </w:tc>
        <w:tc>
          <w:tcPr>
            <w:tcW w:w="499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0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5D4F" w:rsidRPr="002E3257" w:rsidTr="00A97E84">
        <w:trPr>
          <w:trHeight w:val="684"/>
        </w:trPr>
        <w:tc>
          <w:tcPr>
            <w:tcW w:w="290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2E325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9" w:type="pct"/>
            <w:vAlign w:val="center"/>
          </w:tcPr>
          <w:p w:rsidR="00055D4F" w:rsidRPr="002E3257" w:rsidRDefault="00055D4F" w:rsidP="00A97E84">
            <w:pPr>
              <w:jc w:val="center"/>
              <w:rPr>
                <w:sz w:val="20"/>
                <w:szCs w:val="20"/>
              </w:rPr>
            </w:pPr>
            <w:proofErr w:type="spellStart"/>
            <w:r w:rsidRPr="002E3257">
              <w:rPr>
                <w:sz w:val="20"/>
                <w:szCs w:val="20"/>
              </w:rPr>
              <w:t>ΣυνθετικόΛιπαντικό</w:t>
            </w:r>
            <w:proofErr w:type="spellEnd"/>
            <w:r w:rsidRPr="002E3257">
              <w:rPr>
                <w:sz w:val="20"/>
                <w:szCs w:val="20"/>
              </w:rPr>
              <w:t xml:space="preserve"> </w:t>
            </w:r>
            <w:proofErr w:type="spellStart"/>
            <w:r w:rsidRPr="002E3257">
              <w:rPr>
                <w:sz w:val="20"/>
                <w:szCs w:val="20"/>
              </w:rPr>
              <w:t>για</w:t>
            </w:r>
            <w:proofErr w:type="spellEnd"/>
            <w:r w:rsidRPr="002E3257">
              <w:rPr>
                <w:sz w:val="20"/>
                <w:szCs w:val="20"/>
              </w:rPr>
              <w:t xml:space="preserve"> </w:t>
            </w:r>
            <w:proofErr w:type="spellStart"/>
            <w:r w:rsidRPr="002E3257">
              <w:rPr>
                <w:sz w:val="20"/>
                <w:szCs w:val="20"/>
              </w:rPr>
              <w:t>δίχρονους</w:t>
            </w:r>
            <w:proofErr w:type="spellEnd"/>
            <w:r w:rsidRPr="002E3257">
              <w:rPr>
                <w:sz w:val="20"/>
                <w:szCs w:val="20"/>
              </w:rPr>
              <w:t xml:space="preserve"> </w:t>
            </w:r>
            <w:proofErr w:type="spellStart"/>
            <w:r w:rsidRPr="002E3257">
              <w:rPr>
                <w:sz w:val="20"/>
                <w:szCs w:val="20"/>
              </w:rPr>
              <w:t>βενζινοκινητήρεςρευστότητας</w:t>
            </w:r>
            <w:proofErr w:type="spellEnd"/>
            <w:r w:rsidRPr="002E3257">
              <w:rPr>
                <w:sz w:val="20"/>
                <w:szCs w:val="20"/>
              </w:rPr>
              <w:t xml:space="preserve"> </w:t>
            </w:r>
            <w:r w:rsidRPr="002E3257">
              <w:rPr>
                <w:b/>
                <w:bCs/>
                <w:sz w:val="20"/>
                <w:szCs w:val="20"/>
              </w:rPr>
              <w:t>SAE 20</w:t>
            </w:r>
            <w:r w:rsidRPr="002E3257">
              <w:rPr>
                <w:sz w:val="20"/>
                <w:szCs w:val="20"/>
              </w:rPr>
              <w:t xml:space="preserve"> </w:t>
            </w:r>
            <w:proofErr w:type="spellStart"/>
            <w:r w:rsidRPr="002E3257">
              <w:rPr>
                <w:sz w:val="20"/>
                <w:szCs w:val="20"/>
              </w:rPr>
              <w:t>κατά</w:t>
            </w:r>
            <w:proofErr w:type="spellEnd"/>
            <w:r w:rsidRPr="002E3257">
              <w:rPr>
                <w:sz w:val="20"/>
                <w:szCs w:val="20"/>
              </w:rPr>
              <w:t xml:space="preserve"> ΑΡΙ TC, ISO L-EGB, L-EGC, L-EGD, JASO FB/FC/FD, </w:t>
            </w:r>
            <w:proofErr w:type="spellStart"/>
            <w:r w:rsidRPr="002E3257">
              <w:rPr>
                <w:sz w:val="20"/>
                <w:szCs w:val="20"/>
              </w:rPr>
              <w:t>για</w:t>
            </w:r>
            <w:proofErr w:type="spellEnd"/>
            <w:r w:rsidRPr="002E3257">
              <w:rPr>
                <w:sz w:val="20"/>
                <w:szCs w:val="20"/>
              </w:rPr>
              <w:t xml:space="preserve"> </w:t>
            </w:r>
            <w:proofErr w:type="spellStart"/>
            <w:r w:rsidRPr="002E3257">
              <w:rPr>
                <w:b/>
                <w:bCs/>
                <w:sz w:val="20"/>
                <w:szCs w:val="20"/>
              </w:rPr>
              <w:t>δίχρονους</w:t>
            </w:r>
            <w:proofErr w:type="spellEnd"/>
            <w:r w:rsidRPr="002E325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3257">
              <w:rPr>
                <w:b/>
                <w:bCs/>
                <w:sz w:val="20"/>
                <w:szCs w:val="20"/>
              </w:rPr>
              <w:t>βενζινοκινητήρε</w:t>
            </w:r>
            <w:r w:rsidRPr="002E3257">
              <w:rPr>
                <w:sz w:val="20"/>
                <w:szCs w:val="20"/>
              </w:rPr>
              <w:t>ς</w:t>
            </w:r>
            <w:proofErr w:type="spellEnd"/>
            <w:r w:rsidRPr="002E3257">
              <w:rPr>
                <w:sz w:val="20"/>
                <w:szCs w:val="20"/>
              </w:rPr>
              <w:t xml:space="preserve">, </w:t>
            </w:r>
            <w:proofErr w:type="spellStart"/>
            <w:r w:rsidRPr="002E3257">
              <w:rPr>
                <w:sz w:val="20"/>
                <w:szCs w:val="20"/>
              </w:rPr>
              <w:t>σεδοχεία</w:t>
            </w:r>
            <w:proofErr w:type="spellEnd"/>
            <w:r w:rsidRPr="002E3257">
              <w:rPr>
                <w:sz w:val="20"/>
                <w:szCs w:val="20"/>
              </w:rPr>
              <w:t xml:space="preserve"> </w:t>
            </w:r>
            <w:proofErr w:type="spellStart"/>
            <w:r w:rsidRPr="002E3257">
              <w:rPr>
                <w:sz w:val="20"/>
                <w:szCs w:val="20"/>
              </w:rPr>
              <w:t>χωρητικότητας</w:t>
            </w:r>
            <w:proofErr w:type="spellEnd"/>
            <w:r w:rsidRPr="002E3257">
              <w:rPr>
                <w:sz w:val="20"/>
                <w:szCs w:val="20"/>
              </w:rPr>
              <w:t xml:space="preserve"> 1 Lt</w:t>
            </w:r>
          </w:p>
        </w:tc>
        <w:tc>
          <w:tcPr>
            <w:tcW w:w="587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2E3257">
              <w:rPr>
                <w:b/>
                <w:bCs/>
                <w:sz w:val="20"/>
                <w:szCs w:val="20"/>
              </w:rPr>
              <w:t>Lt</w:t>
            </w:r>
          </w:p>
        </w:tc>
        <w:tc>
          <w:tcPr>
            <w:tcW w:w="545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250</w:t>
            </w:r>
          </w:p>
        </w:tc>
        <w:tc>
          <w:tcPr>
            <w:tcW w:w="499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0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5D4F" w:rsidRPr="002E3257" w:rsidTr="00A97E84">
        <w:trPr>
          <w:trHeight w:val="1560"/>
        </w:trPr>
        <w:tc>
          <w:tcPr>
            <w:tcW w:w="290" w:type="pct"/>
            <w:vAlign w:val="center"/>
          </w:tcPr>
          <w:p w:rsidR="00055D4F" w:rsidRPr="002E3257" w:rsidRDefault="00055D4F" w:rsidP="00A97E84">
            <w:pPr>
              <w:tabs>
                <w:tab w:val="center" w:pos="139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E3257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449" w:type="pct"/>
            <w:vAlign w:val="center"/>
          </w:tcPr>
          <w:p w:rsidR="00055D4F" w:rsidRPr="002E3257" w:rsidRDefault="00055D4F" w:rsidP="00A97E8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E3257">
              <w:rPr>
                <w:sz w:val="20"/>
                <w:szCs w:val="20"/>
              </w:rPr>
              <w:t>Λιπαντικόενισχυμένο</w:t>
            </w:r>
            <w:proofErr w:type="spellEnd"/>
            <w:r w:rsidRPr="002E325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3257">
              <w:rPr>
                <w:sz w:val="20"/>
                <w:szCs w:val="20"/>
              </w:rPr>
              <w:t>ελεύθεροψευδαργύρου</w:t>
            </w:r>
            <w:proofErr w:type="spellEnd"/>
            <w:r w:rsidRPr="002E325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3257">
              <w:rPr>
                <w:sz w:val="20"/>
                <w:szCs w:val="20"/>
              </w:rPr>
              <w:t>τύπου</w:t>
            </w:r>
            <w:proofErr w:type="spellEnd"/>
            <w:r w:rsidRPr="002E3257">
              <w:rPr>
                <w:b/>
                <w:bCs/>
                <w:sz w:val="20"/>
                <w:szCs w:val="20"/>
                <w:lang w:val="en-US"/>
              </w:rPr>
              <w:t>ISO 46</w:t>
            </w:r>
            <w:proofErr w:type="spellStart"/>
            <w:r w:rsidRPr="002E3257">
              <w:rPr>
                <w:sz w:val="20"/>
                <w:szCs w:val="20"/>
              </w:rPr>
              <w:t>κατά</w:t>
            </w:r>
            <w:proofErr w:type="spellEnd"/>
            <w:r w:rsidRPr="002E3257">
              <w:rPr>
                <w:sz w:val="20"/>
                <w:szCs w:val="20"/>
                <w:lang w:val="en-US"/>
              </w:rPr>
              <w:t xml:space="preserve">  DIN 51524 PART III HVLP, ISO6743/4 HV, MIL-H-24459, AFNOR NFE 48603 HV, DENISON HF-0, HF-2, VICKERS I-286-S, </w:t>
            </w:r>
            <w:proofErr w:type="spellStart"/>
            <w:r w:rsidRPr="002E3257">
              <w:rPr>
                <w:sz w:val="20"/>
                <w:szCs w:val="20"/>
              </w:rPr>
              <w:t>γιαυδραυλικάσυστήματαυψηλήςπίεσης</w:t>
            </w:r>
            <w:proofErr w:type="spellEnd"/>
            <w:r w:rsidRPr="002E3257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E3257">
              <w:rPr>
                <w:sz w:val="20"/>
                <w:szCs w:val="20"/>
              </w:rPr>
              <w:t>λειτουργίαυδραυλικώνσυστημάτωνόπωςπρέσες</w:t>
            </w:r>
            <w:proofErr w:type="spellEnd"/>
            <w:r w:rsidRPr="002E325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3257">
              <w:rPr>
                <w:sz w:val="20"/>
                <w:szCs w:val="20"/>
              </w:rPr>
              <w:t>γερανοφόραοχήματακ</w:t>
            </w:r>
            <w:proofErr w:type="spellEnd"/>
            <w:r w:rsidRPr="002E3257">
              <w:rPr>
                <w:sz w:val="20"/>
                <w:szCs w:val="20"/>
                <w:lang w:val="en-US"/>
              </w:rPr>
              <w:t>.</w:t>
            </w:r>
            <w:r w:rsidRPr="002E3257">
              <w:rPr>
                <w:sz w:val="20"/>
                <w:szCs w:val="20"/>
              </w:rPr>
              <w:t>λ</w:t>
            </w:r>
            <w:r w:rsidRPr="002E3257">
              <w:rPr>
                <w:sz w:val="20"/>
                <w:szCs w:val="20"/>
                <w:lang w:val="en-US"/>
              </w:rPr>
              <w:t>.</w:t>
            </w:r>
            <w:r w:rsidRPr="002E3257">
              <w:rPr>
                <w:sz w:val="20"/>
                <w:szCs w:val="20"/>
              </w:rPr>
              <w:t>π</w:t>
            </w:r>
            <w:r w:rsidRPr="002E3257">
              <w:rPr>
                <w:sz w:val="20"/>
                <w:szCs w:val="20"/>
                <w:lang w:val="en-US"/>
              </w:rPr>
              <w:t xml:space="preserve">.), </w:t>
            </w:r>
            <w:proofErr w:type="spellStart"/>
            <w:r w:rsidRPr="002E3257">
              <w:rPr>
                <w:sz w:val="20"/>
                <w:szCs w:val="20"/>
              </w:rPr>
              <w:t>σεειδικάβαρέλιαχωρητικότητας</w:t>
            </w:r>
            <w:proofErr w:type="spellEnd"/>
            <w:r w:rsidRPr="002E3257">
              <w:rPr>
                <w:sz w:val="20"/>
                <w:szCs w:val="20"/>
                <w:lang w:val="en-US"/>
              </w:rPr>
              <w:t xml:space="preserve"> 204-208 Lt</w:t>
            </w:r>
          </w:p>
        </w:tc>
        <w:tc>
          <w:tcPr>
            <w:tcW w:w="587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2E3257">
              <w:rPr>
                <w:b/>
                <w:bCs/>
                <w:sz w:val="20"/>
                <w:szCs w:val="20"/>
              </w:rPr>
              <w:t>Lt</w:t>
            </w:r>
          </w:p>
        </w:tc>
        <w:tc>
          <w:tcPr>
            <w:tcW w:w="545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5.000</w:t>
            </w:r>
          </w:p>
        </w:tc>
        <w:tc>
          <w:tcPr>
            <w:tcW w:w="499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0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5D4F" w:rsidRPr="002E3257" w:rsidTr="00A97E84">
        <w:trPr>
          <w:trHeight w:val="1113"/>
        </w:trPr>
        <w:tc>
          <w:tcPr>
            <w:tcW w:w="290" w:type="pct"/>
            <w:vAlign w:val="center"/>
          </w:tcPr>
          <w:p w:rsidR="00055D4F" w:rsidRPr="002E3257" w:rsidRDefault="00055D4F" w:rsidP="00A97E84">
            <w:pPr>
              <w:tabs>
                <w:tab w:val="center" w:pos="139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E3257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449" w:type="pct"/>
            <w:vAlign w:val="center"/>
          </w:tcPr>
          <w:p w:rsidR="00055D4F" w:rsidRPr="002E3257" w:rsidRDefault="00055D4F" w:rsidP="00A97E84">
            <w:pPr>
              <w:jc w:val="center"/>
              <w:rPr>
                <w:sz w:val="20"/>
                <w:szCs w:val="20"/>
                <w:lang w:val="el-GR"/>
              </w:rPr>
            </w:pPr>
            <w:r w:rsidRPr="002E3257">
              <w:rPr>
                <w:sz w:val="20"/>
                <w:szCs w:val="20"/>
                <w:lang w:val="el-GR"/>
              </w:rPr>
              <w:t xml:space="preserve">Λιπαντικό  ενισχυμένο για  αυτόματη  μετάδοση  κίνησης  και  υδραυλικά  συστήματα  οχημάτων </w:t>
            </w:r>
            <w:r w:rsidRPr="002E3257">
              <w:rPr>
                <w:sz w:val="20"/>
                <w:szCs w:val="20"/>
              </w:rPr>
              <w:t>ATF</w:t>
            </w:r>
            <w:r w:rsidRPr="002E3257">
              <w:rPr>
                <w:sz w:val="20"/>
                <w:szCs w:val="20"/>
                <w:lang w:val="el-GR"/>
              </w:rPr>
              <w:t xml:space="preserve">, κατά  </w:t>
            </w:r>
            <w:r w:rsidRPr="002E3257">
              <w:rPr>
                <w:sz w:val="20"/>
                <w:szCs w:val="20"/>
              </w:rPr>
              <w:t>DEXRONIII</w:t>
            </w:r>
            <w:r w:rsidRPr="002E3257">
              <w:rPr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2E3257">
              <w:rPr>
                <w:sz w:val="20"/>
                <w:szCs w:val="20"/>
              </w:rPr>
              <w:t>AllisonC</w:t>
            </w:r>
            <w:proofErr w:type="spellEnd"/>
            <w:r w:rsidRPr="002E3257">
              <w:rPr>
                <w:sz w:val="20"/>
                <w:szCs w:val="20"/>
                <w:lang w:val="el-GR"/>
              </w:rPr>
              <w:t xml:space="preserve">4, </w:t>
            </w:r>
            <w:r w:rsidRPr="002E3257">
              <w:rPr>
                <w:sz w:val="20"/>
                <w:szCs w:val="20"/>
              </w:rPr>
              <w:t>MB</w:t>
            </w:r>
            <w:r w:rsidRPr="002E3257">
              <w:rPr>
                <w:sz w:val="20"/>
                <w:szCs w:val="20"/>
                <w:lang w:val="el-GR"/>
              </w:rPr>
              <w:t xml:space="preserve"> 236.7, </w:t>
            </w:r>
            <w:r w:rsidRPr="002E3257">
              <w:rPr>
                <w:sz w:val="20"/>
                <w:szCs w:val="20"/>
              </w:rPr>
              <w:t>RENKMAN</w:t>
            </w:r>
            <w:r w:rsidRPr="002E3257">
              <w:rPr>
                <w:sz w:val="20"/>
                <w:szCs w:val="20"/>
                <w:lang w:val="el-GR"/>
              </w:rPr>
              <w:t xml:space="preserve"> 339-</w:t>
            </w:r>
            <w:r w:rsidRPr="002E3257">
              <w:rPr>
                <w:sz w:val="20"/>
                <w:szCs w:val="20"/>
              </w:rPr>
              <w:t>E</w:t>
            </w:r>
            <w:r w:rsidRPr="002E3257">
              <w:rPr>
                <w:sz w:val="20"/>
                <w:szCs w:val="20"/>
                <w:lang w:val="el-GR"/>
              </w:rPr>
              <w:t xml:space="preserve">, </w:t>
            </w:r>
            <w:r w:rsidRPr="002E3257">
              <w:rPr>
                <w:sz w:val="20"/>
                <w:szCs w:val="20"/>
              </w:rPr>
              <w:t>ZF</w:t>
            </w:r>
            <w:r w:rsidRPr="002E3257">
              <w:rPr>
                <w:sz w:val="20"/>
                <w:szCs w:val="20"/>
                <w:lang w:val="el-GR"/>
              </w:rPr>
              <w:t>-</w:t>
            </w:r>
            <w:r w:rsidRPr="002E3257">
              <w:rPr>
                <w:sz w:val="20"/>
                <w:szCs w:val="20"/>
              </w:rPr>
              <w:t>TE</w:t>
            </w:r>
            <w:r w:rsidRPr="002E3257">
              <w:rPr>
                <w:sz w:val="20"/>
                <w:szCs w:val="20"/>
                <w:lang w:val="el-GR"/>
              </w:rPr>
              <w:t>-</w:t>
            </w:r>
            <w:r w:rsidRPr="002E3257">
              <w:rPr>
                <w:sz w:val="20"/>
                <w:szCs w:val="20"/>
              </w:rPr>
              <w:t>ML</w:t>
            </w:r>
            <w:r w:rsidRPr="002E3257">
              <w:rPr>
                <w:sz w:val="20"/>
                <w:szCs w:val="20"/>
                <w:lang w:val="el-GR"/>
              </w:rPr>
              <w:t xml:space="preserve"> 09/11/14, </w:t>
            </w:r>
            <w:r w:rsidRPr="002E3257">
              <w:rPr>
                <w:sz w:val="20"/>
                <w:szCs w:val="20"/>
              </w:rPr>
              <w:t>VOITH</w:t>
            </w:r>
            <w:r w:rsidRPr="002E3257">
              <w:rPr>
                <w:sz w:val="20"/>
                <w:szCs w:val="20"/>
                <w:lang w:val="el-GR"/>
              </w:rPr>
              <w:t xml:space="preserve">, </w:t>
            </w:r>
            <w:r w:rsidRPr="002E3257">
              <w:rPr>
                <w:sz w:val="20"/>
                <w:szCs w:val="20"/>
              </w:rPr>
              <w:t>CATTO</w:t>
            </w:r>
            <w:r w:rsidRPr="002E3257">
              <w:rPr>
                <w:sz w:val="20"/>
                <w:szCs w:val="20"/>
                <w:lang w:val="el-GR"/>
              </w:rPr>
              <w:t xml:space="preserve">-2, σε ειδικά βαρέλια χωρητικότητας 204-208 </w:t>
            </w:r>
            <w:r w:rsidRPr="002E3257">
              <w:rPr>
                <w:sz w:val="20"/>
                <w:szCs w:val="20"/>
              </w:rPr>
              <w:t>Lt</w:t>
            </w:r>
          </w:p>
        </w:tc>
        <w:tc>
          <w:tcPr>
            <w:tcW w:w="587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2E3257">
              <w:rPr>
                <w:b/>
                <w:bCs/>
                <w:sz w:val="20"/>
                <w:szCs w:val="20"/>
              </w:rPr>
              <w:t>Lt</w:t>
            </w:r>
          </w:p>
        </w:tc>
        <w:tc>
          <w:tcPr>
            <w:tcW w:w="545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600</w:t>
            </w:r>
          </w:p>
        </w:tc>
        <w:tc>
          <w:tcPr>
            <w:tcW w:w="499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0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5D4F" w:rsidRPr="002E3257" w:rsidTr="00A97E84">
        <w:trPr>
          <w:trHeight w:val="1413"/>
        </w:trPr>
        <w:tc>
          <w:tcPr>
            <w:tcW w:w="290" w:type="pct"/>
            <w:vAlign w:val="center"/>
          </w:tcPr>
          <w:p w:rsidR="00055D4F" w:rsidRPr="002E3257" w:rsidRDefault="00055D4F" w:rsidP="00A97E84">
            <w:pPr>
              <w:tabs>
                <w:tab w:val="center" w:pos="139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E3257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449" w:type="pct"/>
            <w:vAlign w:val="center"/>
          </w:tcPr>
          <w:p w:rsidR="00055D4F" w:rsidRPr="002E3257" w:rsidRDefault="00055D4F" w:rsidP="00A97E8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E3257">
              <w:rPr>
                <w:sz w:val="20"/>
                <w:szCs w:val="20"/>
              </w:rPr>
              <w:t>ΣυνθετικήΒαλβολίνη</w:t>
            </w:r>
            <w:proofErr w:type="spellEnd"/>
            <w:r w:rsidRPr="002E3257">
              <w:rPr>
                <w:b/>
                <w:bCs/>
                <w:sz w:val="20"/>
                <w:szCs w:val="20"/>
                <w:lang w:val="en-US"/>
              </w:rPr>
              <w:t>SAE 75W/90</w:t>
            </w:r>
            <w:r w:rsidRPr="002E325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3257">
              <w:rPr>
                <w:sz w:val="20"/>
                <w:szCs w:val="20"/>
              </w:rPr>
              <w:t>κατάΑΡΙ</w:t>
            </w:r>
            <w:proofErr w:type="spellEnd"/>
            <w:r w:rsidRPr="002E3257">
              <w:rPr>
                <w:sz w:val="20"/>
                <w:szCs w:val="20"/>
                <w:lang w:val="en-US"/>
              </w:rPr>
              <w:t xml:space="preserve"> GL-4/GL-5, MT-1, MIL-L-2105D, ZF TE-ML 01, 02, 05, 07, 08/12</w:t>
            </w:r>
            <w:r w:rsidRPr="002E3257">
              <w:rPr>
                <w:sz w:val="20"/>
                <w:szCs w:val="20"/>
              </w:rPr>
              <w:t>Β</w:t>
            </w:r>
            <w:r w:rsidRPr="002E3257">
              <w:rPr>
                <w:sz w:val="20"/>
                <w:szCs w:val="20"/>
                <w:lang w:val="en-US"/>
              </w:rPr>
              <w:t xml:space="preserve">/16F/17B, M.B. 235.6, MAN 342 N/ML,SCANIA STO 1:0, VOLVO 127310, </w:t>
            </w:r>
            <w:proofErr w:type="spellStart"/>
            <w:r w:rsidRPr="002E3257">
              <w:rPr>
                <w:sz w:val="20"/>
                <w:szCs w:val="20"/>
              </w:rPr>
              <w:t>γιαπροστασίααξόνωνκαιδιαφορικώνβαρέοςτύπου</w:t>
            </w:r>
            <w:proofErr w:type="spellEnd"/>
            <w:r w:rsidRPr="002E325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3257">
              <w:rPr>
                <w:sz w:val="20"/>
                <w:szCs w:val="20"/>
              </w:rPr>
              <w:t>σεειδικάβαρέλιαχωρητικότητας</w:t>
            </w:r>
            <w:proofErr w:type="spellEnd"/>
            <w:r w:rsidRPr="002E3257">
              <w:rPr>
                <w:sz w:val="20"/>
                <w:szCs w:val="20"/>
                <w:lang w:val="en-US"/>
              </w:rPr>
              <w:t xml:space="preserve"> 204-208 Lt</w:t>
            </w:r>
          </w:p>
        </w:tc>
        <w:tc>
          <w:tcPr>
            <w:tcW w:w="587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2E3257">
              <w:rPr>
                <w:b/>
                <w:bCs/>
                <w:sz w:val="20"/>
                <w:szCs w:val="20"/>
              </w:rPr>
              <w:t>Lt</w:t>
            </w:r>
          </w:p>
        </w:tc>
        <w:tc>
          <w:tcPr>
            <w:tcW w:w="545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400</w:t>
            </w:r>
          </w:p>
        </w:tc>
        <w:tc>
          <w:tcPr>
            <w:tcW w:w="499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0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5D4F" w:rsidRPr="002E3257" w:rsidTr="00A97E84">
        <w:tc>
          <w:tcPr>
            <w:tcW w:w="290" w:type="pct"/>
            <w:vAlign w:val="center"/>
          </w:tcPr>
          <w:p w:rsidR="00055D4F" w:rsidRPr="002E3257" w:rsidRDefault="00055D4F" w:rsidP="00A97E84">
            <w:pPr>
              <w:tabs>
                <w:tab w:val="center" w:pos="139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E3257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449" w:type="pct"/>
            <w:vAlign w:val="center"/>
          </w:tcPr>
          <w:p w:rsidR="00055D4F" w:rsidRPr="002E3257" w:rsidRDefault="00055D4F" w:rsidP="00A97E84">
            <w:pPr>
              <w:spacing w:after="24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E3257">
              <w:rPr>
                <w:sz w:val="20"/>
                <w:szCs w:val="20"/>
                <w:lang w:val="el-GR"/>
              </w:rPr>
              <w:t>Βαλβολίνηυπερενισχυμένη</w:t>
            </w:r>
            <w:proofErr w:type="spellEnd"/>
            <w:r w:rsidRPr="002E3257">
              <w:rPr>
                <w:sz w:val="20"/>
                <w:szCs w:val="20"/>
                <w:lang w:val="en-US"/>
              </w:rPr>
              <w:t xml:space="preserve"> </w:t>
            </w:r>
            <w:r w:rsidRPr="002E3257">
              <w:rPr>
                <w:sz w:val="20"/>
                <w:szCs w:val="20"/>
                <w:lang w:val="el-GR"/>
              </w:rPr>
              <w:t>τύπου</w:t>
            </w:r>
            <w:r w:rsidRPr="002E3257">
              <w:rPr>
                <w:b/>
                <w:bCs/>
                <w:sz w:val="20"/>
                <w:szCs w:val="20"/>
              </w:rPr>
              <w:t>SAE</w:t>
            </w:r>
            <w:r w:rsidRPr="002E3257">
              <w:rPr>
                <w:b/>
                <w:bCs/>
                <w:sz w:val="20"/>
                <w:szCs w:val="20"/>
                <w:lang w:val="en-US"/>
              </w:rPr>
              <w:t xml:space="preserve"> 80</w:t>
            </w:r>
            <w:r w:rsidRPr="002E3257">
              <w:rPr>
                <w:b/>
                <w:bCs/>
                <w:sz w:val="20"/>
                <w:szCs w:val="20"/>
              </w:rPr>
              <w:t>W</w:t>
            </w:r>
            <w:r w:rsidRPr="002E3257">
              <w:rPr>
                <w:b/>
                <w:bCs/>
                <w:sz w:val="20"/>
                <w:szCs w:val="20"/>
                <w:lang w:val="en-US"/>
              </w:rPr>
              <w:t>/90</w:t>
            </w:r>
            <w:r w:rsidRPr="002E3257">
              <w:rPr>
                <w:sz w:val="20"/>
                <w:szCs w:val="20"/>
                <w:lang w:val="en-US"/>
              </w:rPr>
              <w:t xml:space="preserve">, </w:t>
            </w:r>
            <w:r w:rsidRPr="002E3257">
              <w:rPr>
                <w:sz w:val="20"/>
                <w:szCs w:val="20"/>
                <w:lang w:val="el-GR"/>
              </w:rPr>
              <w:t>κατά</w:t>
            </w:r>
            <w:r w:rsidRPr="002E3257">
              <w:rPr>
                <w:sz w:val="20"/>
                <w:szCs w:val="20"/>
                <w:lang w:val="en-US"/>
              </w:rPr>
              <w:t xml:space="preserve"> </w:t>
            </w:r>
            <w:r w:rsidRPr="002E3257">
              <w:rPr>
                <w:sz w:val="20"/>
                <w:szCs w:val="20"/>
                <w:lang w:val="el-GR"/>
              </w:rPr>
              <w:t>ΑΡΙ</w:t>
            </w:r>
            <w:r w:rsidRPr="002E3257">
              <w:rPr>
                <w:sz w:val="20"/>
                <w:szCs w:val="20"/>
                <w:lang w:val="en-US"/>
              </w:rPr>
              <w:t xml:space="preserve"> </w:t>
            </w:r>
            <w:r w:rsidRPr="002E3257">
              <w:rPr>
                <w:sz w:val="20"/>
                <w:szCs w:val="20"/>
              </w:rPr>
              <w:t>GL</w:t>
            </w:r>
            <w:r w:rsidRPr="002E3257">
              <w:rPr>
                <w:sz w:val="20"/>
                <w:szCs w:val="20"/>
                <w:lang w:val="en-US"/>
              </w:rPr>
              <w:t>-4/</w:t>
            </w:r>
            <w:r w:rsidRPr="002E3257">
              <w:rPr>
                <w:sz w:val="20"/>
                <w:szCs w:val="20"/>
              </w:rPr>
              <w:t>GL</w:t>
            </w:r>
            <w:r w:rsidRPr="002E3257">
              <w:rPr>
                <w:sz w:val="20"/>
                <w:szCs w:val="20"/>
                <w:lang w:val="en-US"/>
              </w:rPr>
              <w:t xml:space="preserve">-5, </w:t>
            </w:r>
            <w:r w:rsidRPr="002E3257">
              <w:rPr>
                <w:sz w:val="20"/>
                <w:szCs w:val="20"/>
              </w:rPr>
              <w:t>MT</w:t>
            </w:r>
            <w:r w:rsidRPr="002E3257">
              <w:rPr>
                <w:sz w:val="20"/>
                <w:szCs w:val="20"/>
                <w:lang w:val="en-US"/>
              </w:rPr>
              <w:t xml:space="preserve">-1, </w:t>
            </w:r>
            <w:r w:rsidRPr="002E3257">
              <w:rPr>
                <w:sz w:val="20"/>
                <w:szCs w:val="20"/>
              </w:rPr>
              <w:t>MIL</w:t>
            </w:r>
            <w:r w:rsidRPr="002E3257">
              <w:rPr>
                <w:sz w:val="20"/>
                <w:szCs w:val="20"/>
                <w:lang w:val="en-US"/>
              </w:rPr>
              <w:t>-</w:t>
            </w:r>
            <w:r w:rsidRPr="002E3257">
              <w:rPr>
                <w:sz w:val="20"/>
                <w:szCs w:val="20"/>
              </w:rPr>
              <w:t>L</w:t>
            </w:r>
            <w:r w:rsidRPr="002E3257">
              <w:rPr>
                <w:sz w:val="20"/>
                <w:szCs w:val="20"/>
                <w:lang w:val="en-US"/>
              </w:rPr>
              <w:t>-2105</w:t>
            </w:r>
            <w:r w:rsidRPr="002E3257">
              <w:rPr>
                <w:sz w:val="20"/>
                <w:szCs w:val="20"/>
              </w:rPr>
              <w:t>D</w:t>
            </w:r>
            <w:r w:rsidRPr="002E3257">
              <w:rPr>
                <w:sz w:val="20"/>
                <w:szCs w:val="20"/>
                <w:lang w:val="en-US"/>
              </w:rPr>
              <w:t xml:space="preserve">, </w:t>
            </w:r>
            <w:r w:rsidRPr="002E3257">
              <w:rPr>
                <w:sz w:val="20"/>
                <w:szCs w:val="20"/>
              </w:rPr>
              <w:t>MAN</w:t>
            </w:r>
            <w:r w:rsidRPr="002E3257">
              <w:rPr>
                <w:sz w:val="20"/>
                <w:szCs w:val="20"/>
                <w:lang w:val="en-US"/>
              </w:rPr>
              <w:t xml:space="preserve"> 342 </w:t>
            </w:r>
            <w:r w:rsidRPr="002E3257">
              <w:rPr>
                <w:sz w:val="20"/>
                <w:szCs w:val="20"/>
              </w:rPr>
              <w:t>N</w:t>
            </w:r>
            <w:r w:rsidRPr="002E3257">
              <w:rPr>
                <w:sz w:val="20"/>
                <w:szCs w:val="20"/>
                <w:lang w:val="en-US"/>
              </w:rPr>
              <w:t xml:space="preserve">, </w:t>
            </w:r>
            <w:r w:rsidRPr="002E3257">
              <w:rPr>
                <w:sz w:val="20"/>
                <w:szCs w:val="20"/>
              </w:rPr>
              <w:t>VOLVO</w:t>
            </w:r>
            <w:r w:rsidRPr="002E3257">
              <w:rPr>
                <w:sz w:val="20"/>
                <w:szCs w:val="20"/>
                <w:lang w:val="en-US"/>
              </w:rPr>
              <w:t xml:space="preserve"> 97310, </w:t>
            </w:r>
            <w:r w:rsidRPr="002E3257">
              <w:rPr>
                <w:sz w:val="20"/>
                <w:szCs w:val="20"/>
              </w:rPr>
              <w:t>MB</w:t>
            </w:r>
            <w:r w:rsidRPr="002E3257">
              <w:rPr>
                <w:sz w:val="20"/>
                <w:szCs w:val="20"/>
                <w:lang w:val="en-US"/>
              </w:rPr>
              <w:t xml:space="preserve"> 235.00, </w:t>
            </w:r>
            <w:r w:rsidRPr="002E3257">
              <w:rPr>
                <w:sz w:val="20"/>
                <w:szCs w:val="20"/>
              </w:rPr>
              <w:t>ZF</w:t>
            </w:r>
            <w:r w:rsidRPr="002E3257">
              <w:rPr>
                <w:sz w:val="20"/>
                <w:szCs w:val="20"/>
                <w:lang w:val="en-US"/>
              </w:rPr>
              <w:t>-</w:t>
            </w:r>
            <w:r w:rsidRPr="002E3257">
              <w:rPr>
                <w:sz w:val="20"/>
                <w:szCs w:val="20"/>
              </w:rPr>
              <w:t>TE</w:t>
            </w:r>
            <w:r w:rsidRPr="002E3257">
              <w:rPr>
                <w:sz w:val="20"/>
                <w:szCs w:val="20"/>
                <w:lang w:val="en-US"/>
              </w:rPr>
              <w:t>-</w:t>
            </w:r>
            <w:r w:rsidRPr="002E3257">
              <w:rPr>
                <w:sz w:val="20"/>
                <w:szCs w:val="20"/>
              </w:rPr>
              <w:t>ML</w:t>
            </w:r>
            <w:r w:rsidRPr="002E3257">
              <w:rPr>
                <w:sz w:val="20"/>
                <w:szCs w:val="20"/>
                <w:lang w:val="en-US"/>
              </w:rPr>
              <w:t xml:space="preserve"> 05</w:t>
            </w:r>
            <w:r w:rsidRPr="002E3257">
              <w:rPr>
                <w:sz w:val="20"/>
                <w:szCs w:val="20"/>
              </w:rPr>
              <w:t>A</w:t>
            </w:r>
            <w:r w:rsidRPr="002E3257">
              <w:rPr>
                <w:sz w:val="20"/>
                <w:szCs w:val="20"/>
                <w:lang w:val="en-US"/>
              </w:rPr>
              <w:t>/07</w:t>
            </w:r>
            <w:r w:rsidRPr="002E3257">
              <w:rPr>
                <w:sz w:val="20"/>
                <w:szCs w:val="20"/>
              </w:rPr>
              <w:t>A</w:t>
            </w:r>
            <w:r w:rsidRPr="002E3257">
              <w:rPr>
                <w:sz w:val="20"/>
                <w:szCs w:val="20"/>
                <w:lang w:val="en-US"/>
              </w:rPr>
              <w:t>/12</w:t>
            </w:r>
            <w:r w:rsidRPr="002E3257">
              <w:rPr>
                <w:sz w:val="20"/>
                <w:szCs w:val="20"/>
              </w:rPr>
              <w:t>E</w:t>
            </w:r>
            <w:r w:rsidRPr="002E3257">
              <w:rPr>
                <w:sz w:val="20"/>
                <w:szCs w:val="20"/>
                <w:lang w:val="en-US"/>
              </w:rPr>
              <w:t>/16</w:t>
            </w:r>
            <w:r w:rsidRPr="002E3257">
              <w:rPr>
                <w:sz w:val="20"/>
                <w:szCs w:val="20"/>
              </w:rPr>
              <w:t>F</w:t>
            </w:r>
            <w:r w:rsidRPr="002E3257">
              <w:rPr>
                <w:sz w:val="20"/>
                <w:szCs w:val="20"/>
                <w:lang w:val="en-US"/>
              </w:rPr>
              <w:t>/17</w:t>
            </w:r>
            <w:r w:rsidRPr="002E3257">
              <w:rPr>
                <w:sz w:val="20"/>
                <w:szCs w:val="20"/>
              </w:rPr>
              <w:t>B</w:t>
            </w:r>
            <w:r w:rsidRPr="002E3257">
              <w:rPr>
                <w:sz w:val="20"/>
                <w:szCs w:val="20"/>
                <w:lang w:val="en-US"/>
              </w:rPr>
              <w:t>/19</w:t>
            </w:r>
            <w:r w:rsidRPr="002E3257">
              <w:rPr>
                <w:sz w:val="20"/>
                <w:szCs w:val="20"/>
              </w:rPr>
              <w:t>C</w:t>
            </w:r>
            <w:r w:rsidRPr="002E3257">
              <w:rPr>
                <w:sz w:val="20"/>
                <w:szCs w:val="20"/>
                <w:lang w:val="en-US"/>
              </w:rPr>
              <w:t>/21</w:t>
            </w:r>
            <w:r w:rsidRPr="002E3257">
              <w:rPr>
                <w:sz w:val="20"/>
                <w:szCs w:val="20"/>
              </w:rPr>
              <w:t>B</w:t>
            </w:r>
            <w:r w:rsidRPr="002E3257">
              <w:rPr>
                <w:sz w:val="20"/>
                <w:szCs w:val="20"/>
                <w:lang w:val="en-US"/>
              </w:rPr>
              <w:t xml:space="preserve">, </w:t>
            </w:r>
            <w:r w:rsidRPr="002E3257">
              <w:rPr>
                <w:sz w:val="20"/>
                <w:szCs w:val="20"/>
                <w:lang w:val="el-GR"/>
              </w:rPr>
              <w:t>για</w:t>
            </w:r>
            <w:r w:rsidRPr="002E3257">
              <w:rPr>
                <w:sz w:val="20"/>
                <w:szCs w:val="20"/>
                <w:lang w:val="en-US"/>
              </w:rPr>
              <w:t xml:space="preserve"> </w:t>
            </w:r>
            <w:r w:rsidRPr="002E3257">
              <w:rPr>
                <w:sz w:val="20"/>
                <w:szCs w:val="20"/>
                <w:lang w:val="el-GR"/>
              </w:rPr>
              <w:t>προστασία</w:t>
            </w:r>
            <w:r w:rsidRPr="002E3257">
              <w:rPr>
                <w:sz w:val="20"/>
                <w:szCs w:val="20"/>
                <w:lang w:val="en-US"/>
              </w:rPr>
              <w:t xml:space="preserve"> </w:t>
            </w:r>
            <w:r w:rsidRPr="002E3257">
              <w:rPr>
                <w:sz w:val="20"/>
                <w:szCs w:val="20"/>
                <w:lang w:val="el-GR"/>
              </w:rPr>
              <w:t>συστημάτων</w:t>
            </w:r>
            <w:r w:rsidRPr="002E3257">
              <w:rPr>
                <w:sz w:val="20"/>
                <w:szCs w:val="20"/>
                <w:lang w:val="en-US"/>
              </w:rPr>
              <w:t xml:space="preserve"> </w:t>
            </w:r>
            <w:r w:rsidRPr="002E3257">
              <w:rPr>
                <w:sz w:val="20"/>
                <w:szCs w:val="20"/>
                <w:lang w:val="el-GR"/>
              </w:rPr>
              <w:t>μετάδοσης</w:t>
            </w:r>
            <w:r w:rsidRPr="002E3257">
              <w:rPr>
                <w:sz w:val="20"/>
                <w:szCs w:val="20"/>
                <w:lang w:val="en-US"/>
              </w:rPr>
              <w:t xml:space="preserve"> </w:t>
            </w:r>
            <w:r w:rsidRPr="002E3257">
              <w:rPr>
                <w:sz w:val="20"/>
                <w:szCs w:val="20"/>
                <w:lang w:val="el-GR"/>
              </w:rPr>
              <w:t>κίνησης</w:t>
            </w:r>
            <w:r w:rsidRPr="002E3257">
              <w:rPr>
                <w:sz w:val="20"/>
                <w:szCs w:val="20"/>
                <w:lang w:val="en-US"/>
              </w:rPr>
              <w:t xml:space="preserve"> </w:t>
            </w:r>
            <w:r w:rsidRPr="002E3257">
              <w:rPr>
                <w:sz w:val="20"/>
                <w:szCs w:val="20"/>
                <w:lang w:val="el-GR"/>
              </w:rPr>
              <w:t>βαρέως</w:t>
            </w:r>
            <w:r w:rsidRPr="002E3257">
              <w:rPr>
                <w:sz w:val="20"/>
                <w:szCs w:val="20"/>
                <w:lang w:val="en-US"/>
              </w:rPr>
              <w:t xml:space="preserve"> </w:t>
            </w:r>
            <w:r w:rsidRPr="002E3257">
              <w:rPr>
                <w:sz w:val="20"/>
                <w:szCs w:val="20"/>
                <w:lang w:val="el-GR"/>
              </w:rPr>
              <w:t>τύπου</w:t>
            </w:r>
            <w:r w:rsidRPr="002E3257">
              <w:rPr>
                <w:sz w:val="20"/>
                <w:szCs w:val="20"/>
                <w:lang w:val="en-US"/>
              </w:rPr>
              <w:t xml:space="preserve"> </w:t>
            </w:r>
            <w:r w:rsidRPr="002E3257">
              <w:rPr>
                <w:sz w:val="20"/>
                <w:szCs w:val="20"/>
                <w:lang w:val="el-GR"/>
              </w:rPr>
              <w:t>κατά</w:t>
            </w:r>
            <w:r w:rsidRPr="002E3257">
              <w:rPr>
                <w:sz w:val="20"/>
                <w:szCs w:val="20"/>
                <w:lang w:val="en-US"/>
              </w:rPr>
              <w:t xml:space="preserve">, </w:t>
            </w:r>
            <w:r w:rsidRPr="002E3257">
              <w:rPr>
                <w:sz w:val="20"/>
                <w:szCs w:val="20"/>
                <w:lang w:val="el-GR"/>
              </w:rPr>
              <w:t>σε</w:t>
            </w:r>
            <w:r w:rsidRPr="002E3257">
              <w:rPr>
                <w:sz w:val="20"/>
                <w:szCs w:val="20"/>
                <w:lang w:val="en-US"/>
              </w:rPr>
              <w:t xml:space="preserve"> </w:t>
            </w:r>
            <w:r w:rsidRPr="002E3257">
              <w:rPr>
                <w:sz w:val="20"/>
                <w:szCs w:val="20"/>
                <w:lang w:val="el-GR"/>
              </w:rPr>
              <w:t>ειδικά</w:t>
            </w:r>
            <w:r w:rsidRPr="002E3257">
              <w:rPr>
                <w:sz w:val="20"/>
                <w:szCs w:val="20"/>
                <w:lang w:val="en-US"/>
              </w:rPr>
              <w:t xml:space="preserve"> </w:t>
            </w:r>
            <w:r w:rsidRPr="002E3257">
              <w:rPr>
                <w:sz w:val="20"/>
                <w:szCs w:val="20"/>
                <w:lang w:val="el-GR"/>
              </w:rPr>
              <w:t>βαρέλια</w:t>
            </w:r>
            <w:r w:rsidRPr="002E3257">
              <w:rPr>
                <w:sz w:val="20"/>
                <w:szCs w:val="20"/>
                <w:lang w:val="en-US"/>
              </w:rPr>
              <w:t xml:space="preserve"> </w:t>
            </w:r>
            <w:r w:rsidRPr="002E3257">
              <w:rPr>
                <w:sz w:val="20"/>
                <w:szCs w:val="20"/>
                <w:lang w:val="el-GR"/>
              </w:rPr>
              <w:t>χωρητικότητας</w:t>
            </w:r>
            <w:r w:rsidRPr="002E3257">
              <w:rPr>
                <w:sz w:val="20"/>
                <w:szCs w:val="20"/>
                <w:lang w:val="en-US"/>
              </w:rPr>
              <w:t xml:space="preserve"> 204-208 </w:t>
            </w:r>
            <w:r w:rsidRPr="002E3257">
              <w:rPr>
                <w:sz w:val="20"/>
                <w:szCs w:val="20"/>
              </w:rPr>
              <w:t>Lt</w:t>
            </w:r>
          </w:p>
        </w:tc>
        <w:tc>
          <w:tcPr>
            <w:tcW w:w="587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2E3257">
              <w:rPr>
                <w:b/>
                <w:bCs/>
                <w:sz w:val="20"/>
                <w:szCs w:val="20"/>
              </w:rPr>
              <w:t>Lt</w:t>
            </w:r>
          </w:p>
        </w:tc>
        <w:tc>
          <w:tcPr>
            <w:tcW w:w="545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400</w:t>
            </w:r>
          </w:p>
        </w:tc>
        <w:tc>
          <w:tcPr>
            <w:tcW w:w="499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0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5D4F" w:rsidRPr="002E3257" w:rsidTr="00A97E84">
        <w:tc>
          <w:tcPr>
            <w:tcW w:w="290" w:type="pct"/>
            <w:vAlign w:val="center"/>
          </w:tcPr>
          <w:p w:rsidR="00055D4F" w:rsidRPr="002E3257" w:rsidRDefault="00055D4F" w:rsidP="00A97E84">
            <w:pPr>
              <w:tabs>
                <w:tab w:val="center" w:pos="1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E325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49" w:type="pct"/>
            <w:vAlign w:val="center"/>
          </w:tcPr>
          <w:p w:rsidR="00055D4F" w:rsidRPr="002E3257" w:rsidRDefault="00055D4F" w:rsidP="00A97E84">
            <w:pPr>
              <w:spacing w:after="240"/>
              <w:jc w:val="center"/>
              <w:rPr>
                <w:sz w:val="20"/>
                <w:szCs w:val="20"/>
                <w:lang w:val="el-GR"/>
              </w:rPr>
            </w:pPr>
            <w:r w:rsidRPr="002E3257">
              <w:rPr>
                <w:sz w:val="20"/>
                <w:szCs w:val="20"/>
                <w:lang w:val="el-GR"/>
              </w:rPr>
              <w:t xml:space="preserve">Αντιψυκτικό – </w:t>
            </w:r>
            <w:proofErr w:type="spellStart"/>
            <w:r w:rsidRPr="002E3257">
              <w:rPr>
                <w:sz w:val="20"/>
                <w:szCs w:val="20"/>
                <w:lang w:val="el-GR"/>
              </w:rPr>
              <w:t>αντιθερμικό</w:t>
            </w:r>
            <w:proofErr w:type="spellEnd"/>
            <w:r w:rsidRPr="002E3257">
              <w:rPr>
                <w:sz w:val="20"/>
                <w:szCs w:val="20"/>
                <w:lang w:val="el-GR"/>
              </w:rPr>
              <w:t xml:space="preserve"> υγρό έτοιμο για χρήση, για την προστασία κυκλωμάτων ψύξης αυτοκινήτου από σκουριά και διάβρωση και για </w:t>
            </w:r>
            <w:proofErr w:type="spellStart"/>
            <w:r w:rsidRPr="002E3257">
              <w:rPr>
                <w:sz w:val="20"/>
                <w:szCs w:val="20"/>
                <w:lang w:val="el-GR"/>
              </w:rPr>
              <w:t>αντιπαγετική</w:t>
            </w:r>
            <w:proofErr w:type="spellEnd"/>
            <w:r w:rsidRPr="002E3257">
              <w:rPr>
                <w:sz w:val="20"/>
                <w:szCs w:val="20"/>
                <w:lang w:val="el-GR"/>
              </w:rPr>
              <w:t xml:space="preserve"> –</w:t>
            </w:r>
            <w:proofErr w:type="spellStart"/>
            <w:r w:rsidRPr="002E3257">
              <w:rPr>
                <w:sz w:val="20"/>
                <w:szCs w:val="20"/>
                <w:lang w:val="el-GR"/>
              </w:rPr>
              <w:t>αντιθερμική</w:t>
            </w:r>
            <w:proofErr w:type="spellEnd"/>
            <w:r w:rsidRPr="002E3257">
              <w:rPr>
                <w:sz w:val="20"/>
                <w:szCs w:val="20"/>
                <w:lang w:val="el-GR"/>
              </w:rPr>
              <w:t xml:space="preserve"> προστασία, κατά </w:t>
            </w:r>
            <w:r w:rsidRPr="002E3257">
              <w:rPr>
                <w:sz w:val="20"/>
                <w:szCs w:val="20"/>
              </w:rPr>
              <w:t>ASTMD</w:t>
            </w:r>
            <w:r w:rsidRPr="002E3257">
              <w:rPr>
                <w:sz w:val="20"/>
                <w:szCs w:val="20"/>
                <w:lang w:val="el-GR"/>
              </w:rPr>
              <w:t xml:space="preserve">-3306, Γ.Χ.Κ. 349/2012, </w:t>
            </w:r>
            <w:r w:rsidRPr="002E3257">
              <w:rPr>
                <w:sz w:val="20"/>
                <w:szCs w:val="20"/>
              </w:rPr>
              <w:t>BS</w:t>
            </w:r>
            <w:r w:rsidRPr="002E3257">
              <w:rPr>
                <w:sz w:val="20"/>
                <w:szCs w:val="20"/>
                <w:lang w:val="el-GR"/>
              </w:rPr>
              <w:t xml:space="preserve"> 6580, </w:t>
            </w:r>
            <w:r w:rsidRPr="002E3257">
              <w:rPr>
                <w:sz w:val="20"/>
                <w:szCs w:val="20"/>
              </w:rPr>
              <w:lastRenderedPageBreak/>
              <w:t>SAEJ</w:t>
            </w:r>
            <w:r w:rsidRPr="002E3257">
              <w:rPr>
                <w:sz w:val="20"/>
                <w:szCs w:val="20"/>
                <w:lang w:val="el-GR"/>
              </w:rPr>
              <w:t xml:space="preserve">1034, σε ειδικά βαρέλια χωρητικότητας 204-208 </w:t>
            </w:r>
            <w:r w:rsidRPr="002E3257">
              <w:rPr>
                <w:sz w:val="20"/>
                <w:szCs w:val="20"/>
              </w:rPr>
              <w:t>Lt</w:t>
            </w:r>
          </w:p>
        </w:tc>
        <w:tc>
          <w:tcPr>
            <w:tcW w:w="587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2E3257">
              <w:rPr>
                <w:b/>
                <w:bCs/>
                <w:sz w:val="20"/>
                <w:szCs w:val="20"/>
              </w:rPr>
              <w:lastRenderedPageBreak/>
              <w:t>Lt</w:t>
            </w:r>
          </w:p>
        </w:tc>
        <w:tc>
          <w:tcPr>
            <w:tcW w:w="545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600</w:t>
            </w:r>
          </w:p>
        </w:tc>
        <w:tc>
          <w:tcPr>
            <w:tcW w:w="499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0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5D4F" w:rsidRPr="002E3257" w:rsidTr="00A97E84">
        <w:trPr>
          <w:trHeight w:val="51"/>
        </w:trPr>
        <w:tc>
          <w:tcPr>
            <w:tcW w:w="290" w:type="pct"/>
            <w:vAlign w:val="center"/>
          </w:tcPr>
          <w:p w:rsidR="00055D4F" w:rsidRPr="002E3257" w:rsidRDefault="00055D4F" w:rsidP="00A97E84">
            <w:pPr>
              <w:tabs>
                <w:tab w:val="center" w:pos="1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E3257">
              <w:rPr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2449" w:type="pct"/>
            <w:vAlign w:val="center"/>
          </w:tcPr>
          <w:p w:rsidR="00055D4F" w:rsidRPr="002E3257" w:rsidRDefault="00055D4F" w:rsidP="00A97E84">
            <w:pPr>
              <w:spacing w:after="240"/>
              <w:jc w:val="center"/>
              <w:rPr>
                <w:sz w:val="20"/>
                <w:szCs w:val="20"/>
                <w:lang w:val="el-GR"/>
              </w:rPr>
            </w:pPr>
            <w:r w:rsidRPr="002E3257">
              <w:rPr>
                <w:sz w:val="20"/>
                <w:szCs w:val="20"/>
                <w:lang w:val="el-GR"/>
              </w:rPr>
              <w:t xml:space="preserve">Πρόσθετο </w:t>
            </w:r>
            <w:proofErr w:type="spellStart"/>
            <w:r w:rsidRPr="002E3257">
              <w:rPr>
                <w:sz w:val="20"/>
                <w:szCs w:val="20"/>
              </w:rPr>
              <w:t>Adblue</w:t>
            </w:r>
            <w:proofErr w:type="spellEnd"/>
            <w:r w:rsidRPr="002E3257">
              <w:rPr>
                <w:sz w:val="20"/>
                <w:szCs w:val="20"/>
                <w:lang w:val="el-GR"/>
              </w:rPr>
              <w:t xml:space="preserve">, (υψηλής καθαρότητας υδατικό διάλυμα ουρίας, μη τοξικό) για οχήματα με συστήματα </w:t>
            </w:r>
            <w:r w:rsidRPr="002E3257">
              <w:rPr>
                <w:sz w:val="20"/>
                <w:szCs w:val="20"/>
              </w:rPr>
              <w:t>SCR</w:t>
            </w:r>
            <w:r w:rsidRPr="002E3257">
              <w:rPr>
                <w:sz w:val="20"/>
                <w:szCs w:val="20"/>
                <w:lang w:val="el-GR"/>
              </w:rPr>
              <w:t xml:space="preserve"> (</w:t>
            </w:r>
            <w:proofErr w:type="spellStart"/>
            <w:r w:rsidRPr="002E3257">
              <w:rPr>
                <w:sz w:val="20"/>
                <w:szCs w:val="20"/>
              </w:rPr>
              <w:t>SelectiveCatalyticReduction</w:t>
            </w:r>
            <w:proofErr w:type="spellEnd"/>
            <w:r w:rsidRPr="002E3257">
              <w:rPr>
                <w:sz w:val="20"/>
                <w:szCs w:val="20"/>
                <w:lang w:val="el-GR"/>
              </w:rPr>
              <w:t>) με σκοπό τη μείωση των εκπομπών καυσαερίων σε κινητήρες πετρελαίου, κατά Ι</w:t>
            </w:r>
            <w:r w:rsidRPr="002E3257">
              <w:rPr>
                <w:sz w:val="20"/>
                <w:szCs w:val="20"/>
              </w:rPr>
              <w:t>SO</w:t>
            </w:r>
            <w:r w:rsidRPr="002E3257">
              <w:rPr>
                <w:sz w:val="20"/>
                <w:szCs w:val="20"/>
                <w:lang w:val="el-GR"/>
              </w:rPr>
              <w:t xml:space="preserve"> 22241, </w:t>
            </w:r>
            <w:r w:rsidRPr="002E3257">
              <w:rPr>
                <w:sz w:val="20"/>
                <w:szCs w:val="20"/>
              </w:rPr>
              <w:t>DIN</w:t>
            </w:r>
            <w:r w:rsidRPr="002E3257">
              <w:rPr>
                <w:sz w:val="20"/>
                <w:szCs w:val="20"/>
                <w:lang w:val="el-GR"/>
              </w:rPr>
              <w:t xml:space="preserve"> 70070, σε δοχεία χωρητικότητας 10 </w:t>
            </w:r>
            <w:r w:rsidRPr="002E3257">
              <w:rPr>
                <w:sz w:val="20"/>
                <w:szCs w:val="20"/>
              </w:rPr>
              <w:t>Lt</w:t>
            </w:r>
          </w:p>
        </w:tc>
        <w:tc>
          <w:tcPr>
            <w:tcW w:w="587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2E3257">
              <w:rPr>
                <w:b/>
                <w:bCs/>
                <w:sz w:val="20"/>
                <w:szCs w:val="20"/>
              </w:rPr>
              <w:t>Lt</w:t>
            </w:r>
          </w:p>
        </w:tc>
        <w:tc>
          <w:tcPr>
            <w:tcW w:w="545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4.100</w:t>
            </w:r>
          </w:p>
        </w:tc>
        <w:tc>
          <w:tcPr>
            <w:tcW w:w="499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0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5D4F" w:rsidRPr="002E3257" w:rsidTr="00A97E84">
        <w:trPr>
          <w:trHeight w:val="527"/>
        </w:trPr>
        <w:tc>
          <w:tcPr>
            <w:tcW w:w="290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2E325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449" w:type="pct"/>
            <w:vAlign w:val="center"/>
          </w:tcPr>
          <w:p w:rsidR="00055D4F" w:rsidRPr="002E3257" w:rsidRDefault="00055D4F" w:rsidP="00A97E84">
            <w:pPr>
              <w:jc w:val="center"/>
              <w:rPr>
                <w:sz w:val="20"/>
                <w:szCs w:val="20"/>
                <w:lang w:val="el-GR"/>
              </w:rPr>
            </w:pPr>
            <w:r w:rsidRPr="002E3257">
              <w:rPr>
                <w:sz w:val="20"/>
                <w:szCs w:val="20"/>
                <w:lang w:val="el-GR"/>
              </w:rPr>
              <w:t xml:space="preserve">Υγρά φρένων πολύ υψηλής απόδοσης, </w:t>
            </w:r>
            <w:r w:rsidRPr="002E3257">
              <w:rPr>
                <w:sz w:val="20"/>
                <w:szCs w:val="20"/>
              </w:rPr>
              <w:t>DOT</w:t>
            </w:r>
            <w:r w:rsidRPr="002E3257">
              <w:rPr>
                <w:sz w:val="20"/>
                <w:szCs w:val="20"/>
                <w:lang w:val="el-GR"/>
              </w:rPr>
              <w:t xml:space="preserve"> 4, </w:t>
            </w:r>
            <w:proofErr w:type="spellStart"/>
            <w:r w:rsidRPr="002E3257">
              <w:rPr>
                <w:sz w:val="20"/>
                <w:szCs w:val="20"/>
                <w:lang w:val="el-GR"/>
              </w:rPr>
              <w:t>Δοχ</w:t>
            </w:r>
            <w:proofErr w:type="spellEnd"/>
            <w:r w:rsidRPr="002E3257">
              <w:rPr>
                <w:sz w:val="20"/>
                <w:szCs w:val="20"/>
                <w:lang w:val="el-GR"/>
              </w:rPr>
              <w:t xml:space="preserve">. 1 </w:t>
            </w:r>
            <w:r w:rsidRPr="002E3257">
              <w:rPr>
                <w:sz w:val="20"/>
                <w:szCs w:val="20"/>
              </w:rPr>
              <w:t>Lt</w:t>
            </w:r>
          </w:p>
        </w:tc>
        <w:tc>
          <w:tcPr>
            <w:tcW w:w="587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2E3257">
              <w:rPr>
                <w:b/>
                <w:bCs/>
                <w:sz w:val="20"/>
                <w:szCs w:val="20"/>
              </w:rPr>
              <w:t>Lt</w:t>
            </w:r>
          </w:p>
        </w:tc>
        <w:tc>
          <w:tcPr>
            <w:tcW w:w="545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100</w:t>
            </w:r>
          </w:p>
        </w:tc>
        <w:tc>
          <w:tcPr>
            <w:tcW w:w="499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5D4F" w:rsidRPr="002E3257" w:rsidTr="00A97E84">
        <w:trPr>
          <w:trHeight w:val="527"/>
        </w:trPr>
        <w:tc>
          <w:tcPr>
            <w:tcW w:w="290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  <w:r w:rsidRPr="002E325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449" w:type="pct"/>
            <w:vAlign w:val="center"/>
          </w:tcPr>
          <w:p w:rsidR="00055D4F" w:rsidRPr="002E3257" w:rsidRDefault="00055D4F" w:rsidP="00A97E84">
            <w:pPr>
              <w:jc w:val="center"/>
              <w:rPr>
                <w:sz w:val="20"/>
                <w:szCs w:val="20"/>
              </w:rPr>
            </w:pPr>
            <w:proofErr w:type="spellStart"/>
            <w:r w:rsidRPr="002E3257">
              <w:rPr>
                <w:sz w:val="20"/>
                <w:szCs w:val="20"/>
              </w:rPr>
              <w:t>Γράσο</w:t>
            </w:r>
            <w:proofErr w:type="spellEnd"/>
            <w:r w:rsidRPr="002E3257">
              <w:rPr>
                <w:sz w:val="20"/>
                <w:szCs w:val="20"/>
              </w:rPr>
              <w:t xml:space="preserve"> </w:t>
            </w:r>
            <w:proofErr w:type="spellStart"/>
            <w:r w:rsidRPr="002E3257">
              <w:rPr>
                <w:sz w:val="20"/>
                <w:szCs w:val="20"/>
              </w:rPr>
              <w:t>βάσεωςσυμπλόκου</w:t>
            </w:r>
            <w:proofErr w:type="spellEnd"/>
            <w:r w:rsidRPr="002E3257">
              <w:rPr>
                <w:sz w:val="20"/>
                <w:szCs w:val="20"/>
              </w:rPr>
              <w:t xml:space="preserve"> </w:t>
            </w:r>
            <w:proofErr w:type="spellStart"/>
            <w:r w:rsidRPr="002E3257">
              <w:rPr>
                <w:sz w:val="20"/>
                <w:szCs w:val="20"/>
              </w:rPr>
              <w:t>λιθίου</w:t>
            </w:r>
            <w:proofErr w:type="spellEnd"/>
            <w:r w:rsidRPr="002E3257">
              <w:rPr>
                <w:sz w:val="20"/>
                <w:szCs w:val="20"/>
              </w:rPr>
              <w:t xml:space="preserve"> NLGI-3, DIN 51825, KP3P-30, ASTM D-2950 LB/GC, ISO 6743/9L-XCEEB3 </w:t>
            </w:r>
            <w:proofErr w:type="spellStart"/>
            <w:r w:rsidRPr="002E3257">
              <w:rPr>
                <w:sz w:val="20"/>
                <w:szCs w:val="20"/>
              </w:rPr>
              <w:t>κάδος</w:t>
            </w:r>
            <w:proofErr w:type="spellEnd"/>
            <w:r w:rsidRPr="002E3257">
              <w:rPr>
                <w:sz w:val="20"/>
                <w:szCs w:val="20"/>
              </w:rPr>
              <w:t xml:space="preserve"> 16 Kg</w:t>
            </w:r>
          </w:p>
        </w:tc>
        <w:tc>
          <w:tcPr>
            <w:tcW w:w="587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E3257">
              <w:rPr>
                <w:b/>
                <w:bCs/>
                <w:sz w:val="20"/>
                <w:szCs w:val="20"/>
              </w:rPr>
              <w:t>Kgr</w:t>
            </w:r>
            <w:proofErr w:type="spellEnd"/>
          </w:p>
        </w:tc>
        <w:tc>
          <w:tcPr>
            <w:tcW w:w="545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96</w:t>
            </w:r>
          </w:p>
        </w:tc>
        <w:tc>
          <w:tcPr>
            <w:tcW w:w="499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5D4F" w:rsidRPr="00055D4F" w:rsidTr="00A97E84">
        <w:tc>
          <w:tcPr>
            <w:tcW w:w="4370" w:type="pct"/>
            <w:gridSpan w:val="5"/>
            <w:vMerge w:val="restart"/>
            <w:vAlign w:val="center"/>
          </w:tcPr>
          <w:p w:rsidR="00055D4F" w:rsidRPr="002E3257" w:rsidRDefault="00055D4F" w:rsidP="00A97E84">
            <w:pPr>
              <w:jc w:val="right"/>
              <w:rPr>
                <w:b/>
                <w:bCs/>
                <w:sz w:val="20"/>
                <w:szCs w:val="20"/>
                <w:lang w:val="el-GR"/>
              </w:rPr>
            </w:pPr>
            <w:r w:rsidRPr="002E3257">
              <w:rPr>
                <w:b/>
                <w:bCs/>
                <w:sz w:val="20"/>
                <w:szCs w:val="20"/>
                <w:lang w:val="el-GR"/>
              </w:rPr>
              <w:t>Σύνολο προ ΦΠΑ</w:t>
            </w:r>
          </w:p>
          <w:p w:rsidR="00055D4F" w:rsidRPr="002E3257" w:rsidRDefault="00055D4F" w:rsidP="00A97E84">
            <w:pPr>
              <w:jc w:val="right"/>
              <w:rPr>
                <w:b/>
                <w:bCs/>
                <w:sz w:val="20"/>
                <w:szCs w:val="20"/>
                <w:lang w:val="el-GR"/>
              </w:rPr>
            </w:pPr>
            <w:r w:rsidRPr="002E3257">
              <w:rPr>
                <w:b/>
                <w:bCs/>
                <w:sz w:val="20"/>
                <w:szCs w:val="20"/>
                <w:lang w:val="el-GR"/>
              </w:rPr>
              <w:t>ΦΠΑ 24%</w:t>
            </w:r>
          </w:p>
          <w:p w:rsidR="00055D4F" w:rsidRPr="002E3257" w:rsidRDefault="00055D4F" w:rsidP="00A97E84">
            <w:pPr>
              <w:jc w:val="right"/>
              <w:rPr>
                <w:b/>
                <w:bCs/>
                <w:sz w:val="20"/>
                <w:szCs w:val="20"/>
                <w:lang w:val="el-GR"/>
              </w:rPr>
            </w:pPr>
            <w:r w:rsidRPr="002E3257">
              <w:rPr>
                <w:b/>
                <w:bCs/>
                <w:sz w:val="20"/>
                <w:szCs w:val="20"/>
                <w:lang w:val="el-GR"/>
              </w:rPr>
              <w:t>Γενικό Σύνολο</w:t>
            </w:r>
          </w:p>
        </w:tc>
        <w:tc>
          <w:tcPr>
            <w:tcW w:w="630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055D4F" w:rsidRPr="00055D4F" w:rsidTr="00A97E84">
        <w:tc>
          <w:tcPr>
            <w:tcW w:w="4370" w:type="pct"/>
            <w:gridSpan w:val="5"/>
            <w:vMerge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30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055D4F" w:rsidRPr="00055D4F" w:rsidTr="00A97E84">
        <w:tc>
          <w:tcPr>
            <w:tcW w:w="4370" w:type="pct"/>
            <w:gridSpan w:val="5"/>
            <w:vMerge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30" w:type="pct"/>
            <w:vAlign w:val="center"/>
          </w:tcPr>
          <w:p w:rsidR="00055D4F" w:rsidRPr="002E3257" w:rsidRDefault="00055D4F" w:rsidP="00A97E84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055D4F" w:rsidRDefault="00055D4F" w:rsidP="00055D4F">
      <w:pPr>
        <w:jc w:val="center"/>
        <w:rPr>
          <w:rFonts w:asciiTheme="minorHAnsi" w:hAnsiTheme="minorHAnsi" w:cstheme="minorHAnsi"/>
          <w:szCs w:val="22"/>
          <w:lang w:val="el-GR"/>
        </w:rPr>
      </w:pPr>
    </w:p>
    <w:p w:rsidR="00055D4F" w:rsidRDefault="00055D4F" w:rsidP="00055D4F">
      <w:pPr>
        <w:jc w:val="center"/>
        <w:rPr>
          <w:rFonts w:asciiTheme="minorHAnsi" w:hAnsiTheme="minorHAnsi" w:cstheme="minorHAnsi"/>
          <w:szCs w:val="22"/>
          <w:lang w:val="el-GR"/>
        </w:rPr>
      </w:pPr>
    </w:p>
    <w:p w:rsidR="00055D4F" w:rsidRDefault="00055D4F" w:rsidP="00055D4F">
      <w:pPr>
        <w:jc w:val="center"/>
        <w:rPr>
          <w:rFonts w:asciiTheme="minorHAnsi" w:hAnsiTheme="minorHAnsi" w:cstheme="minorHAnsi"/>
          <w:szCs w:val="22"/>
          <w:lang w:val="el-GR"/>
        </w:rPr>
      </w:pPr>
    </w:p>
    <w:p w:rsidR="00055D4F" w:rsidRPr="006D1C51" w:rsidRDefault="00055D4F" w:rsidP="00055D4F">
      <w:pPr>
        <w:jc w:val="center"/>
        <w:rPr>
          <w:rFonts w:asciiTheme="minorHAnsi" w:hAnsiTheme="minorHAnsi" w:cstheme="minorHAnsi"/>
          <w:szCs w:val="22"/>
          <w:lang w:val="el-GR"/>
        </w:rPr>
      </w:pPr>
    </w:p>
    <w:p w:rsidR="00055D4F" w:rsidRPr="0039218B" w:rsidRDefault="00055D4F" w:rsidP="00055D4F">
      <w:pPr>
        <w:jc w:val="center"/>
        <w:outlineLvl w:val="0"/>
        <w:rPr>
          <w:rFonts w:ascii="Century Gothic" w:hAnsi="Century Gothic"/>
          <w:b/>
          <w:lang w:val="el-GR"/>
        </w:rPr>
      </w:pPr>
      <w:r w:rsidRPr="0039218B">
        <w:rPr>
          <w:rFonts w:ascii="Century Gothic" w:hAnsi="Century Gothic"/>
          <w:b/>
          <w:lang w:val="el-GR"/>
        </w:rPr>
        <w:t>Ο ΠΡΟΣΦΕΡΩΝ</w:t>
      </w:r>
    </w:p>
    <w:p w:rsidR="00055D4F" w:rsidRPr="0039218B" w:rsidRDefault="00055D4F" w:rsidP="00055D4F">
      <w:pPr>
        <w:jc w:val="center"/>
        <w:rPr>
          <w:rFonts w:ascii="Century Gothic" w:hAnsi="Century Gothic"/>
          <w:b/>
          <w:lang w:val="el-GR"/>
        </w:rPr>
      </w:pPr>
    </w:p>
    <w:p w:rsidR="00055D4F" w:rsidRPr="00BC26E3" w:rsidRDefault="00055D4F" w:rsidP="00055D4F">
      <w:pPr>
        <w:spacing w:before="57" w:after="57"/>
        <w:jc w:val="center"/>
        <w:rPr>
          <w:lang w:val="el-GR"/>
        </w:rPr>
      </w:pPr>
      <w:r w:rsidRPr="00BC26E3">
        <w:rPr>
          <w:rFonts w:ascii="Century Gothic" w:hAnsi="Century Gothic"/>
          <w:b/>
          <w:lang w:val="el-GR"/>
        </w:rPr>
        <w:t>ΣΦΡΑΓΙΔΑ  - ΥΠΟΓΡΑΦΗ</w:t>
      </w:r>
    </w:p>
    <w:p w:rsidR="00055D4F" w:rsidRDefault="00055D4F" w:rsidP="00055D4F">
      <w:pPr>
        <w:jc w:val="center"/>
        <w:rPr>
          <w:rFonts w:asciiTheme="minorHAnsi" w:hAnsiTheme="minorHAnsi" w:cstheme="minorHAnsi"/>
          <w:szCs w:val="22"/>
          <w:lang w:val="el-GR"/>
        </w:rPr>
      </w:pPr>
    </w:p>
    <w:p w:rsidR="00055D4F" w:rsidRDefault="00055D4F" w:rsidP="00055D4F">
      <w:pPr>
        <w:jc w:val="center"/>
        <w:rPr>
          <w:rFonts w:asciiTheme="minorHAnsi" w:hAnsiTheme="minorHAnsi" w:cstheme="minorHAnsi"/>
          <w:szCs w:val="22"/>
          <w:lang w:val="el-GR"/>
        </w:rPr>
      </w:pPr>
    </w:p>
    <w:p w:rsidR="00A15FB8" w:rsidRPr="00055D4F" w:rsidRDefault="00A15FB8" w:rsidP="00055D4F"/>
    <w:sectPr w:rsidR="00A15FB8" w:rsidRPr="00055D4F" w:rsidSect="00703AF0">
      <w:pgSz w:w="11906" w:h="16838"/>
      <w:pgMar w:top="902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125D2"/>
    <w:rsid w:val="000003B2"/>
    <w:rsid w:val="00014172"/>
    <w:rsid w:val="00015A71"/>
    <w:rsid w:val="0002361F"/>
    <w:rsid w:val="000237A4"/>
    <w:rsid w:val="00055793"/>
    <w:rsid w:val="00055D4F"/>
    <w:rsid w:val="00071829"/>
    <w:rsid w:val="00077A90"/>
    <w:rsid w:val="00083652"/>
    <w:rsid w:val="000E1C0A"/>
    <w:rsid w:val="00100D4F"/>
    <w:rsid w:val="00102F40"/>
    <w:rsid w:val="00107351"/>
    <w:rsid w:val="001125D2"/>
    <w:rsid w:val="0012695E"/>
    <w:rsid w:val="00156AEC"/>
    <w:rsid w:val="00195F4D"/>
    <w:rsid w:val="001C632E"/>
    <w:rsid w:val="001D7933"/>
    <w:rsid w:val="001F437E"/>
    <w:rsid w:val="001F7092"/>
    <w:rsid w:val="002043D5"/>
    <w:rsid w:val="00214D34"/>
    <w:rsid w:val="0023140D"/>
    <w:rsid w:val="002541E9"/>
    <w:rsid w:val="00254DB1"/>
    <w:rsid w:val="00281D0A"/>
    <w:rsid w:val="0028671B"/>
    <w:rsid w:val="00293379"/>
    <w:rsid w:val="00297E23"/>
    <w:rsid w:val="002A2E8C"/>
    <w:rsid w:val="002B0FF8"/>
    <w:rsid w:val="002B4A35"/>
    <w:rsid w:val="002B6E10"/>
    <w:rsid w:val="002D3F74"/>
    <w:rsid w:val="002E01FA"/>
    <w:rsid w:val="002E040A"/>
    <w:rsid w:val="003109E7"/>
    <w:rsid w:val="003125D8"/>
    <w:rsid w:val="0033234B"/>
    <w:rsid w:val="00374AB5"/>
    <w:rsid w:val="00374E8C"/>
    <w:rsid w:val="003C49A5"/>
    <w:rsid w:val="003D0461"/>
    <w:rsid w:val="003F4C35"/>
    <w:rsid w:val="003F4F30"/>
    <w:rsid w:val="003F6B69"/>
    <w:rsid w:val="0040286C"/>
    <w:rsid w:val="00402AEC"/>
    <w:rsid w:val="004036E5"/>
    <w:rsid w:val="004105E6"/>
    <w:rsid w:val="00414F38"/>
    <w:rsid w:val="00424A65"/>
    <w:rsid w:val="0046331E"/>
    <w:rsid w:val="00496255"/>
    <w:rsid w:val="004B6872"/>
    <w:rsid w:val="004C1712"/>
    <w:rsid w:val="00522A71"/>
    <w:rsid w:val="00542CC0"/>
    <w:rsid w:val="00552ECC"/>
    <w:rsid w:val="005C0A8A"/>
    <w:rsid w:val="005C6F4A"/>
    <w:rsid w:val="0061038B"/>
    <w:rsid w:val="00621FF0"/>
    <w:rsid w:val="006226DE"/>
    <w:rsid w:val="00635C97"/>
    <w:rsid w:val="00640918"/>
    <w:rsid w:val="006444EE"/>
    <w:rsid w:val="006B1D92"/>
    <w:rsid w:val="006C77CD"/>
    <w:rsid w:val="006E325C"/>
    <w:rsid w:val="00703AF0"/>
    <w:rsid w:val="00707680"/>
    <w:rsid w:val="00711806"/>
    <w:rsid w:val="007279E5"/>
    <w:rsid w:val="00732F38"/>
    <w:rsid w:val="00755AE4"/>
    <w:rsid w:val="0078207C"/>
    <w:rsid w:val="0079218F"/>
    <w:rsid w:val="00794C9D"/>
    <w:rsid w:val="0079717D"/>
    <w:rsid w:val="007A62A4"/>
    <w:rsid w:val="007C2E9B"/>
    <w:rsid w:val="007F4882"/>
    <w:rsid w:val="00822402"/>
    <w:rsid w:val="008253DD"/>
    <w:rsid w:val="00831FCC"/>
    <w:rsid w:val="00832AC1"/>
    <w:rsid w:val="00864DF7"/>
    <w:rsid w:val="0086585A"/>
    <w:rsid w:val="00867CCF"/>
    <w:rsid w:val="00877EC6"/>
    <w:rsid w:val="008879B8"/>
    <w:rsid w:val="008A25C2"/>
    <w:rsid w:val="008B3C51"/>
    <w:rsid w:val="008B561A"/>
    <w:rsid w:val="008E57C3"/>
    <w:rsid w:val="008F1731"/>
    <w:rsid w:val="008F42A4"/>
    <w:rsid w:val="0091336A"/>
    <w:rsid w:val="00927941"/>
    <w:rsid w:val="00930375"/>
    <w:rsid w:val="009319DE"/>
    <w:rsid w:val="00933B06"/>
    <w:rsid w:val="00944BE4"/>
    <w:rsid w:val="00974CBA"/>
    <w:rsid w:val="009A6A36"/>
    <w:rsid w:val="009B3597"/>
    <w:rsid w:val="009C41D2"/>
    <w:rsid w:val="009E79E1"/>
    <w:rsid w:val="009F75F8"/>
    <w:rsid w:val="00A00463"/>
    <w:rsid w:val="00A15AC4"/>
    <w:rsid w:val="00A15FB8"/>
    <w:rsid w:val="00A222AB"/>
    <w:rsid w:val="00A400EE"/>
    <w:rsid w:val="00A65E81"/>
    <w:rsid w:val="00A737B8"/>
    <w:rsid w:val="00A86226"/>
    <w:rsid w:val="00A90B66"/>
    <w:rsid w:val="00A972E8"/>
    <w:rsid w:val="00AC478D"/>
    <w:rsid w:val="00AE2635"/>
    <w:rsid w:val="00B077A5"/>
    <w:rsid w:val="00B23C3D"/>
    <w:rsid w:val="00B23D7F"/>
    <w:rsid w:val="00B23DE9"/>
    <w:rsid w:val="00B54457"/>
    <w:rsid w:val="00B56DA9"/>
    <w:rsid w:val="00B84508"/>
    <w:rsid w:val="00C013DF"/>
    <w:rsid w:val="00C13D04"/>
    <w:rsid w:val="00C35F1D"/>
    <w:rsid w:val="00C420F9"/>
    <w:rsid w:val="00C63A59"/>
    <w:rsid w:val="00C81C7D"/>
    <w:rsid w:val="00C91727"/>
    <w:rsid w:val="00CA197E"/>
    <w:rsid w:val="00CA28EE"/>
    <w:rsid w:val="00CB5E58"/>
    <w:rsid w:val="00CC56E4"/>
    <w:rsid w:val="00CD3ED4"/>
    <w:rsid w:val="00CE00BC"/>
    <w:rsid w:val="00CE68D4"/>
    <w:rsid w:val="00D0550E"/>
    <w:rsid w:val="00D24FCB"/>
    <w:rsid w:val="00D32D03"/>
    <w:rsid w:val="00D357B1"/>
    <w:rsid w:val="00D37A1D"/>
    <w:rsid w:val="00D40668"/>
    <w:rsid w:val="00D779A5"/>
    <w:rsid w:val="00D91398"/>
    <w:rsid w:val="00DC5B75"/>
    <w:rsid w:val="00DF47ED"/>
    <w:rsid w:val="00E03618"/>
    <w:rsid w:val="00E07781"/>
    <w:rsid w:val="00E4467D"/>
    <w:rsid w:val="00E82BA9"/>
    <w:rsid w:val="00E87985"/>
    <w:rsid w:val="00EB5489"/>
    <w:rsid w:val="00ED68A8"/>
    <w:rsid w:val="00EE14E9"/>
    <w:rsid w:val="00EF3E79"/>
    <w:rsid w:val="00F01EAB"/>
    <w:rsid w:val="00F022E1"/>
    <w:rsid w:val="00F13AAC"/>
    <w:rsid w:val="00F218CA"/>
    <w:rsid w:val="00F27541"/>
    <w:rsid w:val="00F425EC"/>
    <w:rsid w:val="00F46DA7"/>
    <w:rsid w:val="00F60652"/>
    <w:rsid w:val="00F6645B"/>
    <w:rsid w:val="00F80826"/>
    <w:rsid w:val="00F812C2"/>
    <w:rsid w:val="00FB0D95"/>
    <w:rsid w:val="00FC3CC1"/>
    <w:rsid w:val="00FD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b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D2"/>
    <w:pPr>
      <w:suppressAutoHyphens/>
      <w:spacing w:after="120" w:line="240" w:lineRule="auto"/>
      <w:jc w:val="both"/>
    </w:pPr>
    <w:rPr>
      <w:rFonts w:ascii="Calibri" w:eastAsia="Times New Roman" w:hAnsi="Calibri" w:cs="Calibri"/>
      <w:b w:val="0"/>
      <w:sz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2019-05-30T07:49:00Z</dcterms:created>
  <dcterms:modified xsi:type="dcterms:W3CDTF">2019-06-05T11:14:00Z</dcterms:modified>
</cp:coreProperties>
</file>