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B8" w:rsidRDefault="00EF4EAC" w:rsidP="00EF4EAC">
      <w:pPr>
        <w:jc w:val="center"/>
        <w:rPr>
          <w:rFonts w:asciiTheme="minorHAnsi" w:hAnsiTheme="minorHAnsi"/>
        </w:rPr>
      </w:pPr>
      <w:r>
        <w:rPr>
          <w:rFonts w:asciiTheme="minorHAnsi" w:hAnsiTheme="minorHAnsi"/>
        </w:rPr>
        <w:t xml:space="preserve">ΦΥΛΛΟ ΣΥΜΜΟΡΦΩΣΗΣ </w:t>
      </w:r>
      <w:r w:rsidRPr="00EF4EAC">
        <w:rPr>
          <w:rFonts w:asciiTheme="minorHAnsi" w:hAnsiTheme="minorHAnsi"/>
        </w:rPr>
        <w:t xml:space="preserve">- ΕΝΤΥΠΟ ΓΙΑ ΤΙΣ </w:t>
      </w:r>
      <w:r>
        <w:rPr>
          <w:rFonts w:asciiTheme="minorHAnsi" w:hAnsiTheme="minorHAnsi"/>
        </w:rPr>
        <w:t>ΓΕΝΙΚΕΣ ΑΠΑΙΤΗΣΕΙΣ – ΤΕΧΝΙΚΕΣ ΠΡΟΔΙΑΓΡΑΦΕΣ</w:t>
      </w:r>
    </w:p>
    <w:p w:rsidR="00EF4EAC" w:rsidRDefault="00EF4EAC" w:rsidP="00EF4EAC">
      <w:pPr>
        <w:jc w:val="both"/>
        <w:rPr>
          <w:rFonts w:asciiTheme="minorHAnsi" w:hAnsiTheme="minorHAnsi"/>
        </w:rPr>
      </w:pPr>
    </w:p>
    <w:p w:rsidR="00EF4EAC" w:rsidRPr="00A53522" w:rsidRDefault="00EF4EAC" w:rsidP="00EF4EAC">
      <w:pPr>
        <w:ind w:left="-142" w:right="142"/>
        <w:jc w:val="both"/>
        <w:rPr>
          <w:rFonts w:ascii="Century Gothic" w:hAnsi="Century Gothic"/>
          <w:sz w:val="20"/>
          <w:szCs w:val="20"/>
        </w:rPr>
      </w:pPr>
      <w:r w:rsidRPr="00C56190">
        <w:rPr>
          <w:rFonts w:ascii="Century Gothic" w:hAnsi="Century Gothic"/>
          <w:sz w:val="20"/>
          <w:szCs w:val="20"/>
        </w:rPr>
        <w:t xml:space="preserve">Της Επιχείρησης ………………………………………………………………………………………. με έδρα ……………………………………………, οδός……………………………………………..…… …………………………………, αριθμός …………………………….., τηλέφωνο…….…….…………. …………..………………………. </w:t>
      </w:r>
      <w:proofErr w:type="gramStart"/>
      <w:r w:rsidRPr="00C56190">
        <w:rPr>
          <w:rFonts w:ascii="Century Gothic" w:hAnsi="Century Gothic"/>
          <w:sz w:val="20"/>
          <w:szCs w:val="20"/>
          <w:lang w:val="en-US"/>
        </w:rPr>
        <w:t>fax</w:t>
      </w:r>
      <w:proofErr w:type="gramEnd"/>
      <w:r w:rsidRPr="00C56190">
        <w:rPr>
          <w:rFonts w:ascii="Century Gothic" w:hAnsi="Century Gothic"/>
          <w:sz w:val="20"/>
          <w:szCs w:val="20"/>
        </w:rPr>
        <w:t xml:space="preserve"> ………………….., </w:t>
      </w:r>
      <w:r w:rsidRPr="00C56190">
        <w:rPr>
          <w:rFonts w:ascii="Century Gothic" w:hAnsi="Century Gothic"/>
          <w:sz w:val="20"/>
          <w:szCs w:val="20"/>
          <w:lang w:val="en-US"/>
        </w:rPr>
        <w:t>email</w:t>
      </w:r>
      <w:r w:rsidRPr="00C56190">
        <w:rPr>
          <w:rFonts w:ascii="Century Gothic" w:hAnsi="Century Gothic"/>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4003"/>
        <w:gridCol w:w="1509"/>
        <w:gridCol w:w="1878"/>
        <w:gridCol w:w="2026"/>
      </w:tblGrid>
      <w:tr w:rsidR="00137A51" w:rsidRPr="00137A51" w:rsidTr="001A37D7">
        <w:tc>
          <w:tcPr>
            <w:tcW w:w="9854" w:type="dxa"/>
            <w:gridSpan w:val="5"/>
            <w:shd w:val="clear" w:color="auto" w:fill="BFBFBF"/>
            <w:vAlign w:val="center"/>
          </w:tcPr>
          <w:p w:rsidR="00137A51" w:rsidRPr="00137A51" w:rsidRDefault="00137A51" w:rsidP="001A37D7">
            <w:pPr>
              <w:tabs>
                <w:tab w:val="left" w:pos="1088"/>
              </w:tabs>
              <w:jc w:val="center"/>
              <w:rPr>
                <w:rFonts w:asciiTheme="minorHAnsi" w:hAnsiTheme="minorHAnsi"/>
                <w:sz w:val="16"/>
                <w:szCs w:val="16"/>
              </w:rPr>
            </w:pPr>
            <w:r w:rsidRPr="00137A51">
              <w:rPr>
                <w:rFonts w:asciiTheme="minorHAnsi" w:hAnsiTheme="minorHAnsi"/>
                <w:sz w:val="16"/>
                <w:szCs w:val="16"/>
              </w:rPr>
              <w:t>ΓΕΝΙΚΕΣ ΑΠΑΙΤΗΣΕΙΣ ΠΟΙΟΤΗΤΑΣ ΚΑΙ ΑΣΦΑΛΕΙΑΣ ΓΙΑ ΤΑ ΥΛΙΚΑ ΕΞΟΠΛΙΣΜΟΥ ΟΡΓΑΝΩΝ – ΑΣΤΙΚΟΥ ΚΑΙ ΔΑΠΕΔΩΝ</w:t>
            </w:r>
          </w:p>
        </w:tc>
      </w:tr>
      <w:tr w:rsidR="00137A51" w:rsidRPr="00137A51" w:rsidTr="001A37D7">
        <w:tc>
          <w:tcPr>
            <w:tcW w:w="438" w:type="dxa"/>
            <w:shd w:val="clear" w:color="auto" w:fill="BFBFBF"/>
            <w:vAlign w:val="center"/>
          </w:tcPr>
          <w:p w:rsidR="00137A51" w:rsidRPr="00137A51" w:rsidRDefault="00137A51" w:rsidP="001A37D7">
            <w:pPr>
              <w:tabs>
                <w:tab w:val="left" w:pos="1088"/>
              </w:tabs>
              <w:jc w:val="center"/>
              <w:rPr>
                <w:rFonts w:asciiTheme="minorHAnsi" w:hAnsiTheme="minorHAnsi"/>
                <w:sz w:val="16"/>
                <w:szCs w:val="16"/>
              </w:rPr>
            </w:pPr>
          </w:p>
        </w:tc>
        <w:tc>
          <w:tcPr>
            <w:tcW w:w="4003" w:type="dxa"/>
            <w:shd w:val="clear" w:color="auto" w:fill="BFBFBF"/>
            <w:vAlign w:val="center"/>
          </w:tcPr>
          <w:p w:rsidR="00137A51" w:rsidRPr="00137A51" w:rsidRDefault="00137A51" w:rsidP="001A37D7">
            <w:pPr>
              <w:autoSpaceDE w:val="0"/>
              <w:autoSpaceDN w:val="0"/>
              <w:adjustRightInd w:val="0"/>
              <w:jc w:val="center"/>
              <w:rPr>
                <w:rFonts w:asciiTheme="minorHAnsi" w:hAnsiTheme="minorHAnsi"/>
                <w:sz w:val="16"/>
                <w:szCs w:val="16"/>
              </w:rPr>
            </w:pPr>
            <w:r w:rsidRPr="00137A51">
              <w:rPr>
                <w:rFonts w:asciiTheme="minorHAnsi" w:hAnsiTheme="minorHAnsi"/>
                <w:sz w:val="16"/>
                <w:szCs w:val="16"/>
              </w:rPr>
              <w:t>ΠΕΡΙΓΡΑΦΗ</w:t>
            </w:r>
          </w:p>
        </w:tc>
        <w:tc>
          <w:tcPr>
            <w:tcW w:w="1509" w:type="dxa"/>
            <w:shd w:val="clear" w:color="auto" w:fill="BFBFBF"/>
            <w:vAlign w:val="center"/>
          </w:tcPr>
          <w:p w:rsidR="00137A51" w:rsidRPr="00137A51" w:rsidRDefault="00137A51" w:rsidP="001A37D7">
            <w:pPr>
              <w:tabs>
                <w:tab w:val="left" w:pos="1088"/>
              </w:tabs>
              <w:jc w:val="center"/>
              <w:rPr>
                <w:rFonts w:asciiTheme="minorHAnsi" w:hAnsiTheme="minorHAnsi"/>
                <w:sz w:val="16"/>
                <w:szCs w:val="16"/>
              </w:rPr>
            </w:pPr>
            <w:r w:rsidRPr="00137A51">
              <w:rPr>
                <w:rFonts w:asciiTheme="minorHAnsi" w:hAnsiTheme="minorHAnsi"/>
                <w:sz w:val="16"/>
                <w:szCs w:val="16"/>
              </w:rPr>
              <w:t>ΑΠΑΙΤΗΣΗ</w:t>
            </w:r>
          </w:p>
        </w:tc>
        <w:tc>
          <w:tcPr>
            <w:tcW w:w="1878" w:type="dxa"/>
            <w:shd w:val="clear" w:color="auto" w:fill="BFBFBF"/>
            <w:vAlign w:val="center"/>
          </w:tcPr>
          <w:p w:rsidR="00137A51" w:rsidRPr="00137A51" w:rsidRDefault="00137A51" w:rsidP="001A37D7">
            <w:pPr>
              <w:tabs>
                <w:tab w:val="left" w:pos="1088"/>
              </w:tabs>
              <w:jc w:val="center"/>
              <w:rPr>
                <w:rFonts w:asciiTheme="minorHAnsi" w:hAnsiTheme="minorHAnsi"/>
                <w:sz w:val="16"/>
                <w:szCs w:val="16"/>
              </w:rPr>
            </w:pPr>
            <w:r w:rsidRPr="00137A51">
              <w:rPr>
                <w:rFonts w:asciiTheme="minorHAnsi" w:hAnsiTheme="minorHAnsi"/>
                <w:sz w:val="16"/>
                <w:szCs w:val="16"/>
              </w:rPr>
              <w:t>ΑΠΑΝΤΗΣΗ ΠΡΟΜΗΘΕΥΤΗ</w:t>
            </w:r>
          </w:p>
        </w:tc>
        <w:tc>
          <w:tcPr>
            <w:tcW w:w="2026" w:type="dxa"/>
            <w:shd w:val="clear" w:color="auto" w:fill="BFBFBF"/>
            <w:vAlign w:val="center"/>
          </w:tcPr>
          <w:p w:rsidR="00137A51" w:rsidRPr="00137A51" w:rsidRDefault="00137A51" w:rsidP="001A37D7">
            <w:pPr>
              <w:tabs>
                <w:tab w:val="left" w:pos="1088"/>
              </w:tabs>
              <w:jc w:val="center"/>
              <w:rPr>
                <w:rFonts w:asciiTheme="minorHAnsi" w:hAnsiTheme="minorHAnsi"/>
                <w:sz w:val="16"/>
                <w:szCs w:val="16"/>
              </w:rPr>
            </w:pPr>
            <w:r w:rsidRPr="00137A51">
              <w:rPr>
                <w:rFonts w:asciiTheme="minorHAnsi" w:hAnsiTheme="minorHAnsi"/>
                <w:sz w:val="16"/>
                <w:szCs w:val="16"/>
              </w:rPr>
              <w:t>ΠΑΡΑΤΗΡΗΣΕΙΣ</w:t>
            </w: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1</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sz w:val="16"/>
                <w:szCs w:val="16"/>
              </w:rPr>
              <w:t>Όλες οι εκτεθειμένες επιφάνειες θα πρέπει να είναι στρογγυλεμένες, ώστε να μην υπάρχουν αιχμηρά άκρα όπως προδιαγράφεται από την οδηγία ΕΝ1176-2008.</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2</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sz w:val="16"/>
                <w:szCs w:val="16"/>
              </w:rPr>
              <w:t>Όλες οι βίδες στήριξης να καλύπτονται από στρογγυλεμένα πλαστικά προστατευτικά, για να παρέχουν ασφάλεια.</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3</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sz w:val="16"/>
                <w:szCs w:val="16"/>
              </w:rPr>
              <w:t>Όλα τα μεταλλικά εξαρτήματα (βίδες, παξιμάδια κ.λπ.), που θα χρησιμοποιηθούν στις κατασκευές να είναι άριστης ποιότητας και καινούρια.</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4</w:t>
            </w:r>
          </w:p>
        </w:tc>
        <w:tc>
          <w:tcPr>
            <w:tcW w:w="4003"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Τα μεταλλικά στοιχεία των κατασκευών να έχουν υποστεί κατάλληλη επεξεργασία, ώστε να διαθέτουν επαρκή αντιδιαβρωτική προστασία. Οι διαστάσεις και διατομές των μεταλλικών στοιχείων πρέπει να είναι επαρκείς για να παραλάβουν τα φορτία για τα οποία έχουν μελετηθεί</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5</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sz w:val="16"/>
                <w:szCs w:val="16"/>
              </w:rPr>
              <w:t>Τα ξύλινα στοιχεία του εξοπλισμού να έχουν ικανοποιητική αντοχή και σταθερότητα και να έχουν υποστεί επεξεργασία για προστασία από έντομα και μύκητες. Οι διαστάσεις και διατομές των ξύλινων στοιχείων πρέπει να είναι επαρκείς για να παραλάβουν τα φορτία για τα οποία έχουν μελετηθεί.</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6</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sz w:val="16"/>
                <w:szCs w:val="16"/>
              </w:rPr>
              <w:t>Τα πλαστικά στοιχεία του εξοπλισμού και τα δάπεδα ασφαλείας θα πρέπει να έχουν μεγάλη αντοχή στη υπεριώδη ακτινοβολία και τις ακραίες καιρικές συνθήκες.</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7</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sz w:val="16"/>
                <w:szCs w:val="16"/>
              </w:rPr>
              <w:t>Τα χρώματα και τα υλικά βαφής/ συντήρησης να είναι κατάλληλα για εξωτερική χρήση και ασφαλή για τα παιδιά. Τα χρώματα με τα οποία θα βάφονται τα όργανα να είναι σύμφωνα με τις προδιαγραφές της Ευρωπαϊκής Ένωσης, μη τοξικά και μη αναφλέξιμα.</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8</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color w:val="000000"/>
                <w:sz w:val="16"/>
                <w:szCs w:val="16"/>
                <w:lang w:eastAsia="el-GR"/>
              </w:rPr>
              <w:t>Όλα τα είδη συνοδεύονται από όλα τα απαραίτητα έντυπα για την τοποθέτηση και συντήρηση τους (σχέδια με τις διαστάσεις της κατασκευής, οδηγίες εγκατάστασης, οδηγίες θεμελίωσης και οδηγίες συντήρησης και συχνότητα διενέργειας των ελέγχων).</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9</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color w:val="000000"/>
                <w:sz w:val="16"/>
                <w:szCs w:val="16"/>
                <w:lang w:eastAsia="el-GR"/>
              </w:rPr>
              <w:t xml:space="preserve">Οι προαναφερόμενες διαστάσεις των προς προμήθεια ειδών (εξοπλισμού παιδικών χαρών και αστικού εξοπλισμού) είναι ενδεικτικές, καθώς κάθε κατασκευαστής διαθέτει διακριτή </w:t>
            </w:r>
            <w:proofErr w:type="spellStart"/>
            <w:r w:rsidRPr="00137A51">
              <w:rPr>
                <w:rFonts w:asciiTheme="minorHAnsi" w:hAnsiTheme="minorHAnsi"/>
                <w:b w:val="0"/>
                <w:color w:val="000000"/>
                <w:sz w:val="16"/>
                <w:szCs w:val="16"/>
                <w:lang w:eastAsia="el-GR"/>
              </w:rPr>
              <w:t>διαστασιολόγηση</w:t>
            </w:r>
            <w:proofErr w:type="spellEnd"/>
            <w:r w:rsidRPr="00137A51">
              <w:rPr>
                <w:rFonts w:asciiTheme="minorHAnsi" w:hAnsiTheme="minorHAnsi"/>
                <w:b w:val="0"/>
                <w:color w:val="000000"/>
                <w:sz w:val="16"/>
                <w:szCs w:val="16"/>
                <w:lang w:eastAsia="el-GR"/>
              </w:rPr>
              <w:t xml:space="preserve"> ανά είδος. Για το λόγο αυτό, επιτρέπεται και γίνεται αποδεκτή η απόκλιση +/- 10 % στις επιμέρους καθώς και στις συνολικές διαστάσεις των οργάνων, με την προϋπόθεση ότι τηρούνται οι απαραίτητες αποστάσεις </w:t>
            </w:r>
            <w:r w:rsidRPr="00137A51">
              <w:rPr>
                <w:rFonts w:asciiTheme="minorHAnsi" w:hAnsiTheme="minorHAnsi"/>
                <w:b w:val="0"/>
                <w:color w:val="000000"/>
                <w:sz w:val="16"/>
                <w:szCs w:val="16"/>
                <w:lang w:eastAsia="el-GR"/>
              </w:rPr>
              <w:lastRenderedPageBreak/>
              <w:t>ασφαλείας των χώρων τοποθέτησης των παιχνιδιών</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lastRenderedPageBreak/>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lastRenderedPageBreak/>
              <w:t>10</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sz w:val="16"/>
                <w:szCs w:val="16"/>
              </w:rPr>
            </w:pPr>
            <w:r w:rsidRPr="00137A51">
              <w:rPr>
                <w:rFonts w:asciiTheme="minorHAnsi" w:hAnsiTheme="minorHAnsi"/>
                <w:b w:val="0"/>
                <w:color w:val="000000"/>
                <w:sz w:val="16"/>
                <w:szCs w:val="16"/>
                <w:lang w:eastAsia="el-GR"/>
              </w:rPr>
              <w:t>Όλα τα προμηθευόμενα είδη πρέπει να συνοδεύεται από Φυλλάδια Τεχνικών Προδιαγραφών (</w:t>
            </w:r>
            <w:proofErr w:type="spellStart"/>
            <w:r w:rsidRPr="00137A51">
              <w:rPr>
                <w:rFonts w:asciiTheme="minorHAnsi" w:hAnsiTheme="minorHAnsi"/>
                <w:b w:val="0"/>
                <w:color w:val="000000"/>
                <w:sz w:val="16"/>
                <w:szCs w:val="16"/>
                <w:lang w:eastAsia="el-GR"/>
              </w:rPr>
              <w:t>Prospectus</w:t>
            </w:r>
            <w:proofErr w:type="spellEnd"/>
            <w:r w:rsidRPr="00137A51">
              <w:rPr>
                <w:rFonts w:asciiTheme="minorHAnsi" w:hAnsiTheme="minorHAnsi"/>
                <w:b w:val="0"/>
                <w:color w:val="000000"/>
                <w:sz w:val="16"/>
                <w:szCs w:val="16"/>
                <w:lang w:eastAsia="el-GR"/>
              </w:rPr>
              <w:t>), μαζί με φωτογραφικό υλικό των οργάνων και του αστικού εξοπλισμού</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11</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color w:val="000000"/>
                <w:sz w:val="16"/>
                <w:szCs w:val="16"/>
                <w:lang w:eastAsia="el-GR"/>
              </w:rPr>
            </w:pPr>
            <w:r w:rsidRPr="00137A51">
              <w:rPr>
                <w:rFonts w:asciiTheme="minorHAnsi" w:hAnsiTheme="minorHAnsi"/>
                <w:b w:val="0"/>
                <w:color w:val="000000"/>
                <w:sz w:val="16"/>
                <w:szCs w:val="16"/>
                <w:lang w:eastAsia="el-GR"/>
              </w:rPr>
              <w:t xml:space="preserve">Όλα τα προμηθευόμενα είδη πρέπει να συνοδεύονται με όλα τα απαραίτητα έγγραφα και δικαιολογητικά που θα αποδεικνύουν την προέλευση, τα κατασκευαστικά πρότυπα (Ελληνικά και Ευρωπαϊκά) και </w:t>
            </w:r>
            <w:proofErr w:type="spellStart"/>
            <w:r w:rsidRPr="00137A51">
              <w:rPr>
                <w:rFonts w:asciiTheme="minorHAnsi" w:hAnsiTheme="minorHAnsi"/>
                <w:b w:val="0"/>
                <w:color w:val="000000"/>
                <w:sz w:val="16"/>
                <w:szCs w:val="16"/>
                <w:lang w:eastAsia="el-GR"/>
              </w:rPr>
              <w:t>ό,τι</w:t>
            </w:r>
            <w:proofErr w:type="spellEnd"/>
            <w:r w:rsidRPr="00137A51">
              <w:rPr>
                <w:rFonts w:asciiTheme="minorHAnsi" w:hAnsiTheme="minorHAnsi"/>
                <w:b w:val="0"/>
                <w:color w:val="000000"/>
                <w:sz w:val="16"/>
                <w:szCs w:val="16"/>
                <w:lang w:eastAsia="el-GR"/>
              </w:rPr>
              <w:t xml:space="preserve"> άλλο αποδεικνύει την γνησιότητα και την ποιότητα κατασκευής και θα διασφαλίζει την ομαλή και ασφαλή λειτουργία τους.</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r w:rsidR="00137A51" w:rsidRPr="00137A51" w:rsidTr="001A37D7">
        <w:tc>
          <w:tcPr>
            <w:tcW w:w="438"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12</w:t>
            </w:r>
          </w:p>
        </w:tc>
        <w:tc>
          <w:tcPr>
            <w:tcW w:w="4003" w:type="dxa"/>
            <w:vAlign w:val="center"/>
          </w:tcPr>
          <w:p w:rsidR="00137A51" w:rsidRPr="00137A51" w:rsidRDefault="00137A51" w:rsidP="001A37D7">
            <w:pPr>
              <w:autoSpaceDE w:val="0"/>
              <w:autoSpaceDN w:val="0"/>
              <w:adjustRightInd w:val="0"/>
              <w:jc w:val="center"/>
              <w:rPr>
                <w:rFonts w:asciiTheme="minorHAnsi" w:hAnsiTheme="minorHAnsi"/>
                <w:b w:val="0"/>
                <w:color w:val="000000"/>
                <w:sz w:val="16"/>
                <w:szCs w:val="16"/>
                <w:lang w:eastAsia="el-GR"/>
              </w:rPr>
            </w:pPr>
            <w:r w:rsidRPr="00137A51">
              <w:rPr>
                <w:rFonts w:asciiTheme="minorHAnsi" w:hAnsiTheme="minorHAnsi"/>
                <w:b w:val="0"/>
                <w:color w:val="000000"/>
                <w:sz w:val="16"/>
                <w:szCs w:val="16"/>
                <w:lang w:eastAsia="el-GR"/>
              </w:rPr>
              <w:t>Όλα τα πιστοποιητικά συμμόρφωσης που θα υποβληθούν στην Αναθέτουσα αρχή, θα έχουν εκδοθεί από φορέα ελέγχου και πιστοποίησης διαπιστευμένο για τον σκοπό αυτό, σύμφωνα με το άρθρο 11 της υπ’ αρ. 28492/ 2009 Απόφασης του Υπ. Εσωτερικών, όπως συμπληρώθηκε τροποποιήθηκε και ισχύει.</w:t>
            </w:r>
          </w:p>
        </w:tc>
        <w:tc>
          <w:tcPr>
            <w:tcW w:w="1509" w:type="dxa"/>
            <w:vAlign w:val="center"/>
          </w:tcPr>
          <w:p w:rsidR="00137A51" w:rsidRPr="00137A51" w:rsidRDefault="00137A51" w:rsidP="001A37D7">
            <w:pPr>
              <w:tabs>
                <w:tab w:val="left" w:pos="1088"/>
              </w:tabs>
              <w:jc w:val="center"/>
              <w:rPr>
                <w:rFonts w:asciiTheme="minorHAnsi" w:hAnsiTheme="minorHAnsi"/>
                <w:b w:val="0"/>
                <w:sz w:val="16"/>
                <w:szCs w:val="16"/>
              </w:rPr>
            </w:pPr>
            <w:r w:rsidRPr="00137A51">
              <w:rPr>
                <w:rFonts w:asciiTheme="minorHAnsi" w:hAnsiTheme="minorHAnsi"/>
                <w:b w:val="0"/>
                <w:sz w:val="16"/>
                <w:szCs w:val="16"/>
              </w:rPr>
              <w:t>ΝΑΙ</w:t>
            </w:r>
          </w:p>
        </w:tc>
        <w:tc>
          <w:tcPr>
            <w:tcW w:w="1878" w:type="dxa"/>
            <w:vAlign w:val="center"/>
          </w:tcPr>
          <w:p w:rsidR="00137A51" w:rsidRPr="00137A51" w:rsidRDefault="00137A51" w:rsidP="001A37D7">
            <w:pPr>
              <w:tabs>
                <w:tab w:val="left" w:pos="1088"/>
              </w:tabs>
              <w:jc w:val="center"/>
              <w:rPr>
                <w:rFonts w:asciiTheme="minorHAnsi" w:hAnsiTheme="minorHAnsi"/>
                <w:b w:val="0"/>
                <w:sz w:val="16"/>
                <w:szCs w:val="16"/>
              </w:rPr>
            </w:pPr>
          </w:p>
        </w:tc>
        <w:tc>
          <w:tcPr>
            <w:tcW w:w="2026" w:type="dxa"/>
            <w:vAlign w:val="center"/>
          </w:tcPr>
          <w:p w:rsidR="00137A51" w:rsidRPr="00137A51" w:rsidRDefault="00137A51" w:rsidP="001A37D7">
            <w:pPr>
              <w:tabs>
                <w:tab w:val="left" w:pos="1088"/>
              </w:tabs>
              <w:jc w:val="center"/>
              <w:rPr>
                <w:rFonts w:asciiTheme="minorHAnsi" w:hAnsiTheme="minorHAnsi"/>
                <w:b w:val="0"/>
                <w:sz w:val="16"/>
                <w:szCs w:val="16"/>
              </w:rPr>
            </w:pPr>
          </w:p>
        </w:tc>
      </w:tr>
    </w:tbl>
    <w:p w:rsidR="00EF4EAC" w:rsidRPr="00EF4EAC" w:rsidRDefault="00EF4EAC" w:rsidP="00EF4EAC">
      <w:pPr>
        <w:jc w:val="center"/>
        <w:rPr>
          <w:rFonts w:asciiTheme="minorHAnsi" w:hAnsiTheme="minorHAnsi"/>
          <w:b w:val="0"/>
          <w:sz w:val="22"/>
          <w:szCs w:val="22"/>
        </w:rPr>
      </w:pPr>
    </w:p>
    <w:p w:rsidR="00EF4EAC" w:rsidRDefault="00EF4EAC" w:rsidP="00EF4EAC">
      <w:pPr>
        <w:jc w:val="center"/>
        <w:rPr>
          <w:rFonts w:asciiTheme="minorHAnsi" w:hAnsiTheme="minorHAnsi"/>
        </w:rPr>
      </w:pPr>
    </w:p>
    <w:p w:rsidR="00EF4EAC" w:rsidRPr="00EF4EAC" w:rsidRDefault="00EF4EAC" w:rsidP="00EF4EAC">
      <w:pPr>
        <w:spacing w:before="57" w:after="57"/>
        <w:jc w:val="center"/>
        <w:rPr>
          <w:rFonts w:asciiTheme="minorHAnsi" w:hAnsiTheme="minorHAnsi"/>
        </w:rPr>
      </w:pPr>
    </w:p>
    <w:p w:rsidR="004A2EC5" w:rsidRPr="004A2EC5" w:rsidRDefault="004A2EC5" w:rsidP="004A2EC5">
      <w:pPr>
        <w:jc w:val="center"/>
        <w:rPr>
          <w:rFonts w:ascii="Calibri" w:hAnsi="Calibri"/>
          <w:b w:val="0"/>
        </w:rPr>
      </w:pPr>
      <w:r w:rsidRPr="004A2EC5">
        <w:rPr>
          <w:rFonts w:ascii="Calibri" w:hAnsi="Calibri"/>
        </w:rPr>
        <w:t xml:space="preserve">ΗΜΕΡΟΜΗΝΙΑ </w:t>
      </w:r>
    </w:p>
    <w:p w:rsidR="004A2EC5" w:rsidRPr="004A2EC5" w:rsidRDefault="004A2EC5" w:rsidP="004A2EC5">
      <w:pPr>
        <w:jc w:val="center"/>
        <w:rPr>
          <w:rFonts w:ascii="Calibri" w:hAnsi="Calibri"/>
          <w:b w:val="0"/>
        </w:rPr>
      </w:pPr>
    </w:p>
    <w:p w:rsidR="004A2EC5" w:rsidRPr="004A2EC5" w:rsidRDefault="004A2EC5" w:rsidP="004A2EC5">
      <w:pPr>
        <w:jc w:val="center"/>
        <w:rPr>
          <w:rFonts w:ascii="Calibri" w:hAnsi="Calibri"/>
          <w:b w:val="0"/>
        </w:rPr>
      </w:pPr>
    </w:p>
    <w:p w:rsidR="004A2EC5" w:rsidRPr="004A2EC5" w:rsidRDefault="004A2EC5" w:rsidP="004A2EC5">
      <w:pPr>
        <w:jc w:val="center"/>
        <w:rPr>
          <w:rFonts w:ascii="Calibri" w:hAnsi="Calibri"/>
          <w:b w:val="0"/>
        </w:rPr>
      </w:pPr>
      <w:r w:rsidRPr="004A2EC5">
        <w:rPr>
          <w:rFonts w:ascii="Calibri" w:hAnsi="Calibri"/>
        </w:rPr>
        <w:t>(ΣΦΡΑΓΙΔΑ ΚΑΙ ΥΠΟΓΡΑΦΗ)</w:t>
      </w:r>
    </w:p>
    <w:p w:rsidR="00EF4EAC" w:rsidRPr="00EF4EAC" w:rsidRDefault="00EF4EAC" w:rsidP="00EF4EAC">
      <w:pPr>
        <w:jc w:val="center"/>
        <w:rPr>
          <w:rFonts w:asciiTheme="minorHAnsi" w:hAnsiTheme="minorHAnsi"/>
        </w:rPr>
      </w:pPr>
    </w:p>
    <w:sectPr w:rsidR="00EF4EAC" w:rsidRPr="00EF4EAC" w:rsidSect="00703AF0">
      <w:pgSz w:w="11906" w:h="16838"/>
      <w:pgMar w:top="902"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displayVerticalDrawingGridEvery w:val="2"/>
  <w:characterSpacingControl w:val="doNotCompress"/>
  <w:compat/>
  <w:rsids>
    <w:rsidRoot w:val="00EF4EAC"/>
    <w:rsid w:val="000003B2"/>
    <w:rsid w:val="00014172"/>
    <w:rsid w:val="00015A71"/>
    <w:rsid w:val="0002361F"/>
    <w:rsid w:val="000237A4"/>
    <w:rsid w:val="00055793"/>
    <w:rsid w:val="00071829"/>
    <w:rsid w:val="00077A90"/>
    <w:rsid w:val="00083652"/>
    <w:rsid w:val="000E1C0A"/>
    <w:rsid w:val="00100D4F"/>
    <w:rsid w:val="00102F40"/>
    <w:rsid w:val="00107351"/>
    <w:rsid w:val="0012695E"/>
    <w:rsid w:val="00137A51"/>
    <w:rsid w:val="00156AEC"/>
    <w:rsid w:val="00195F4D"/>
    <w:rsid w:val="001A037B"/>
    <w:rsid w:val="001C632E"/>
    <w:rsid w:val="001D7933"/>
    <w:rsid w:val="001F437E"/>
    <w:rsid w:val="001F7092"/>
    <w:rsid w:val="002043D5"/>
    <w:rsid w:val="00214D34"/>
    <w:rsid w:val="0023140D"/>
    <w:rsid w:val="002541E9"/>
    <w:rsid w:val="00254DB1"/>
    <w:rsid w:val="00281D0A"/>
    <w:rsid w:val="0028671B"/>
    <w:rsid w:val="00293379"/>
    <w:rsid w:val="00297E23"/>
    <w:rsid w:val="002A2E8C"/>
    <w:rsid w:val="002B0FF8"/>
    <w:rsid w:val="002B4A35"/>
    <w:rsid w:val="002B6E10"/>
    <w:rsid w:val="002D3F74"/>
    <w:rsid w:val="002E01FA"/>
    <w:rsid w:val="002E040A"/>
    <w:rsid w:val="003109E7"/>
    <w:rsid w:val="003125D8"/>
    <w:rsid w:val="003250B4"/>
    <w:rsid w:val="0033234B"/>
    <w:rsid w:val="00367F30"/>
    <w:rsid w:val="00374AB5"/>
    <w:rsid w:val="00374E8C"/>
    <w:rsid w:val="003C49A5"/>
    <w:rsid w:val="003D0461"/>
    <w:rsid w:val="003F4C35"/>
    <w:rsid w:val="003F4F30"/>
    <w:rsid w:val="003F6B69"/>
    <w:rsid w:val="0040286C"/>
    <w:rsid w:val="004036E5"/>
    <w:rsid w:val="004105E6"/>
    <w:rsid w:val="00414F38"/>
    <w:rsid w:val="00424A65"/>
    <w:rsid w:val="0046331E"/>
    <w:rsid w:val="004A2EC5"/>
    <w:rsid w:val="004B6872"/>
    <w:rsid w:val="004C1712"/>
    <w:rsid w:val="00522A71"/>
    <w:rsid w:val="00542CC0"/>
    <w:rsid w:val="00552ECC"/>
    <w:rsid w:val="005C0A8A"/>
    <w:rsid w:val="005C6F4A"/>
    <w:rsid w:val="0061038B"/>
    <w:rsid w:val="00621FF0"/>
    <w:rsid w:val="006226DE"/>
    <w:rsid w:val="00635C97"/>
    <w:rsid w:val="00640918"/>
    <w:rsid w:val="006444EE"/>
    <w:rsid w:val="006B1D92"/>
    <w:rsid w:val="006C77CD"/>
    <w:rsid w:val="006E325C"/>
    <w:rsid w:val="00703AF0"/>
    <w:rsid w:val="00707680"/>
    <w:rsid w:val="00711806"/>
    <w:rsid w:val="007279E5"/>
    <w:rsid w:val="00732F38"/>
    <w:rsid w:val="0074569B"/>
    <w:rsid w:val="00755AE4"/>
    <w:rsid w:val="00765DD2"/>
    <w:rsid w:val="0078207C"/>
    <w:rsid w:val="0079218F"/>
    <w:rsid w:val="00794C9D"/>
    <w:rsid w:val="0079717D"/>
    <w:rsid w:val="007A62A4"/>
    <w:rsid w:val="007C2E9B"/>
    <w:rsid w:val="007F4882"/>
    <w:rsid w:val="00822402"/>
    <w:rsid w:val="008253DD"/>
    <w:rsid w:val="00831FCC"/>
    <w:rsid w:val="00832216"/>
    <w:rsid w:val="00832AC1"/>
    <w:rsid w:val="00864DF7"/>
    <w:rsid w:val="0086585A"/>
    <w:rsid w:val="00867CCF"/>
    <w:rsid w:val="00877EC6"/>
    <w:rsid w:val="008879B8"/>
    <w:rsid w:val="008A25C2"/>
    <w:rsid w:val="008B3C51"/>
    <w:rsid w:val="008B561A"/>
    <w:rsid w:val="008C412A"/>
    <w:rsid w:val="008E57C3"/>
    <w:rsid w:val="008F1731"/>
    <w:rsid w:val="008F42A4"/>
    <w:rsid w:val="0091336A"/>
    <w:rsid w:val="00927941"/>
    <w:rsid w:val="00930375"/>
    <w:rsid w:val="009319DE"/>
    <w:rsid w:val="00933B06"/>
    <w:rsid w:val="00944BE4"/>
    <w:rsid w:val="00974CBA"/>
    <w:rsid w:val="009A6A36"/>
    <w:rsid w:val="009B3597"/>
    <w:rsid w:val="009C41D2"/>
    <w:rsid w:val="009E79E1"/>
    <w:rsid w:val="009F75F8"/>
    <w:rsid w:val="00A00463"/>
    <w:rsid w:val="00A13417"/>
    <w:rsid w:val="00A15AC4"/>
    <w:rsid w:val="00A15FB8"/>
    <w:rsid w:val="00A222AB"/>
    <w:rsid w:val="00A400EE"/>
    <w:rsid w:val="00A65E81"/>
    <w:rsid w:val="00A737B8"/>
    <w:rsid w:val="00A83837"/>
    <w:rsid w:val="00A86226"/>
    <w:rsid w:val="00A90B66"/>
    <w:rsid w:val="00A972E8"/>
    <w:rsid w:val="00AC478D"/>
    <w:rsid w:val="00AE2635"/>
    <w:rsid w:val="00B077A5"/>
    <w:rsid w:val="00B23C3D"/>
    <w:rsid w:val="00B23D7F"/>
    <w:rsid w:val="00B23DE9"/>
    <w:rsid w:val="00B54457"/>
    <w:rsid w:val="00B56DA9"/>
    <w:rsid w:val="00B84508"/>
    <w:rsid w:val="00B96479"/>
    <w:rsid w:val="00C013DF"/>
    <w:rsid w:val="00C13D04"/>
    <w:rsid w:val="00C35F1D"/>
    <w:rsid w:val="00C420F9"/>
    <w:rsid w:val="00C63A59"/>
    <w:rsid w:val="00C81C7D"/>
    <w:rsid w:val="00C91727"/>
    <w:rsid w:val="00CA197E"/>
    <w:rsid w:val="00CA28EE"/>
    <w:rsid w:val="00CB5E58"/>
    <w:rsid w:val="00CC56E4"/>
    <w:rsid w:val="00CD3ED4"/>
    <w:rsid w:val="00CE00BC"/>
    <w:rsid w:val="00CE68D4"/>
    <w:rsid w:val="00D0550E"/>
    <w:rsid w:val="00D24FCB"/>
    <w:rsid w:val="00D32D03"/>
    <w:rsid w:val="00D357B1"/>
    <w:rsid w:val="00D37A1D"/>
    <w:rsid w:val="00D40668"/>
    <w:rsid w:val="00D779A5"/>
    <w:rsid w:val="00D91398"/>
    <w:rsid w:val="00DC5B75"/>
    <w:rsid w:val="00DF47ED"/>
    <w:rsid w:val="00E03618"/>
    <w:rsid w:val="00E07781"/>
    <w:rsid w:val="00E4467D"/>
    <w:rsid w:val="00E82BA9"/>
    <w:rsid w:val="00E87985"/>
    <w:rsid w:val="00EB5489"/>
    <w:rsid w:val="00ED68A8"/>
    <w:rsid w:val="00EE14E9"/>
    <w:rsid w:val="00EF3E79"/>
    <w:rsid w:val="00EF4EAC"/>
    <w:rsid w:val="00F01EAB"/>
    <w:rsid w:val="00F022E1"/>
    <w:rsid w:val="00F13AAC"/>
    <w:rsid w:val="00F218CA"/>
    <w:rsid w:val="00F27541"/>
    <w:rsid w:val="00F425EC"/>
    <w:rsid w:val="00F46DA7"/>
    <w:rsid w:val="00F60652"/>
    <w:rsid w:val="00F6645B"/>
    <w:rsid w:val="00F80826"/>
    <w:rsid w:val="00F812C2"/>
    <w:rsid w:val="00FB0D95"/>
    <w:rsid w:val="00FC3CC1"/>
    <w:rsid w:val="00FD17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524</Words>
  <Characters>2832</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2019-09-13T11:06:00Z</dcterms:created>
  <dcterms:modified xsi:type="dcterms:W3CDTF">2019-11-20T10:43:00Z</dcterms:modified>
</cp:coreProperties>
</file>